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ind w:firstLine="600" w:firstLineChars="200"/>
        <w:rPr>
          <w:rFonts w:hint="eastAsia" w:ascii="仿宋" w:hAnsi="仿宋" w:eastAsia="仿宋" w:cs="仿宋"/>
          <w:sz w:val="30"/>
          <w:szCs w:val="30"/>
        </w:rPr>
      </w:pPr>
      <w:bookmarkStart w:id="70" w:name="_GoBack"/>
      <w:bookmarkEnd w:id="70"/>
    </w:p>
    <w:p>
      <w:pPr>
        <w:jc w:val="center"/>
        <w:rPr>
          <w:rFonts w:ascii="黑体" w:hAnsi="黑体" w:eastAsia="黑体" w:cs="黑体"/>
          <w:sz w:val="36"/>
          <w:szCs w:val="36"/>
        </w:rPr>
      </w:pPr>
    </w:p>
    <w:p>
      <w:pPr>
        <w:jc w:val="center"/>
        <w:rPr>
          <w:rFonts w:ascii="黑体" w:hAnsi="黑体" w:eastAsia="黑体" w:cs="黑体"/>
          <w:sz w:val="36"/>
          <w:szCs w:val="36"/>
        </w:rPr>
      </w:pPr>
    </w:p>
    <w:p>
      <w:pPr>
        <w:jc w:val="center"/>
        <w:rPr>
          <w:rFonts w:ascii="黑体" w:hAnsi="黑体" w:eastAsia="黑体" w:cs="黑体"/>
          <w:sz w:val="44"/>
          <w:szCs w:val="44"/>
        </w:rPr>
      </w:pPr>
      <w:r>
        <w:rPr>
          <w:rFonts w:hint="eastAsia" w:ascii="黑体" w:hAnsi="黑体" w:eastAsia="黑体" w:cs="黑体"/>
          <w:sz w:val="44"/>
          <w:szCs w:val="44"/>
        </w:rPr>
        <w:t>2023年度中央财政</w:t>
      </w:r>
    </w:p>
    <w:p>
      <w:pPr>
        <w:jc w:val="center"/>
        <w:rPr>
          <w:rFonts w:ascii="黑体" w:hAnsi="黑体" w:eastAsia="黑体" w:cs="黑体"/>
          <w:sz w:val="44"/>
          <w:szCs w:val="44"/>
        </w:rPr>
      </w:pPr>
      <w:r>
        <w:rPr>
          <w:rFonts w:hint="eastAsia" w:ascii="黑体" w:hAnsi="黑体" w:eastAsia="黑体" w:cs="黑体"/>
          <w:sz w:val="44"/>
          <w:szCs w:val="44"/>
        </w:rPr>
        <w:t>欠发达国有林场巩固提升补助资金项目</w:t>
      </w:r>
    </w:p>
    <w:p>
      <w:pPr>
        <w:jc w:val="center"/>
        <w:rPr>
          <w:rFonts w:ascii="黑体" w:hAnsi="黑体" w:eastAsia="黑体" w:cs="黑体"/>
          <w:sz w:val="44"/>
          <w:szCs w:val="44"/>
        </w:rPr>
      </w:pPr>
      <w:r>
        <w:rPr>
          <w:rFonts w:hint="eastAsia" w:ascii="黑体" w:hAnsi="黑体" w:eastAsia="黑体" w:cs="黑体"/>
          <w:sz w:val="44"/>
          <w:szCs w:val="44"/>
        </w:rPr>
        <w:t>实施方案</w:t>
      </w:r>
    </w:p>
    <w:p>
      <w:pPr>
        <w:rPr>
          <w:rFonts w:ascii="仿宋" w:hAnsi="仿宋" w:eastAsia="仿宋" w:cs="仿宋"/>
          <w:sz w:val="32"/>
          <w:szCs w:val="32"/>
        </w:rPr>
      </w:pPr>
    </w:p>
    <w:p>
      <w:pPr>
        <w:rPr>
          <w:rFonts w:ascii="仿宋" w:hAnsi="仿宋" w:eastAsia="仿宋" w:cs="仿宋"/>
          <w:sz w:val="32"/>
          <w:szCs w:val="32"/>
        </w:rPr>
      </w:pPr>
    </w:p>
    <w:p>
      <w:pPr>
        <w:rPr>
          <w:rFonts w:ascii="仿宋" w:hAnsi="仿宋" w:eastAsia="仿宋" w:cs="仿宋"/>
          <w:sz w:val="32"/>
          <w:szCs w:val="32"/>
        </w:rPr>
      </w:pPr>
    </w:p>
    <w:p>
      <w:pPr>
        <w:rPr>
          <w:rFonts w:ascii="仿宋" w:hAnsi="仿宋" w:eastAsia="仿宋" w:cs="仿宋"/>
          <w:sz w:val="32"/>
          <w:szCs w:val="32"/>
        </w:rPr>
      </w:pPr>
    </w:p>
    <w:p>
      <w:pPr>
        <w:rPr>
          <w:rFonts w:ascii="仿宋" w:hAnsi="仿宋" w:eastAsia="仿宋" w:cs="仿宋"/>
          <w:sz w:val="32"/>
          <w:szCs w:val="32"/>
        </w:rPr>
      </w:pPr>
    </w:p>
    <w:p>
      <w:pPr>
        <w:rPr>
          <w:rFonts w:ascii="仿宋" w:hAnsi="仿宋" w:eastAsia="仿宋" w:cs="仿宋"/>
          <w:sz w:val="32"/>
          <w:szCs w:val="32"/>
        </w:rPr>
      </w:pPr>
    </w:p>
    <w:p>
      <w:pPr>
        <w:rPr>
          <w:rFonts w:ascii="仿宋" w:hAnsi="仿宋" w:eastAsia="仿宋" w:cs="仿宋"/>
          <w:sz w:val="32"/>
          <w:szCs w:val="32"/>
        </w:rPr>
      </w:pPr>
    </w:p>
    <w:p>
      <w:pPr>
        <w:ind w:left="1600" w:hanging="1600" w:hangingChars="500"/>
        <w:rPr>
          <w:rFonts w:ascii="仿宋" w:hAnsi="仿宋" w:eastAsia="仿宋" w:cs="仿宋"/>
          <w:sz w:val="32"/>
          <w:szCs w:val="32"/>
        </w:rPr>
      </w:pPr>
      <w:r>
        <w:rPr>
          <w:rFonts w:hint="eastAsia" w:ascii="仿宋" w:hAnsi="仿宋" w:eastAsia="仿宋" w:cs="仿宋"/>
          <w:sz w:val="32"/>
          <w:szCs w:val="32"/>
        </w:rPr>
        <w:t>项目名称：黄土梁子林场林下种植中药材项目</w:t>
      </w:r>
    </w:p>
    <w:p>
      <w:pPr>
        <w:rPr>
          <w:rFonts w:ascii="仿宋" w:hAnsi="仿宋" w:eastAsia="仿宋" w:cs="仿宋"/>
          <w:sz w:val="32"/>
          <w:szCs w:val="32"/>
        </w:rPr>
      </w:pPr>
      <w:r>
        <w:rPr>
          <w:rFonts w:hint="eastAsia" w:ascii="仿宋" w:hAnsi="仿宋" w:eastAsia="仿宋" w:cs="仿宋"/>
          <w:sz w:val="32"/>
          <w:szCs w:val="32"/>
        </w:rPr>
        <w:t>建设性质：新建</w:t>
      </w:r>
    </w:p>
    <w:p>
      <w:pPr>
        <w:rPr>
          <w:rFonts w:ascii="仿宋" w:hAnsi="仿宋" w:eastAsia="仿宋" w:cs="仿宋"/>
          <w:sz w:val="32"/>
          <w:szCs w:val="32"/>
        </w:rPr>
      </w:pPr>
      <w:r>
        <w:rPr>
          <w:rFonts w:hint="eastAsia" w:ascii="仿宋" w:hAnsi="仿宋" w:eastAsia="仿宋" w:cs="仿宋"/>
          <w:sz w:val="32"/>
          <w:szCs w:val="32"/>
        </w:rPr>
        <w:t>项目单位：平泉市国有黄土梁子林场</w:t>
      </w:r>
    </w:p>
    <w:p>
      <w:pPr>
        <w:rPr>
          <w:rFonts w:ascii="仿宋" w:hAnsi="仿宋" w:eastAsia="仿宋" w:cs="仿宋"/>
          <w:sz w:val="32"/>
          <w:szCs w:val="32"/>
        </w:rPr>
      </w:pPr>
      <w:r>
        <w:rPr>
          <w:rFonts w:hint="eastAsia" w:ascii="仿宋" w:hAnsi="仿宋" w:eastAsia="仿宋" w:cs="仿宋"/>
          <w:sz w:val="32"/>
          <w:szCs w:val="32"/>
        </w:rPr>
        <w:t xml:space="preserve">负 责 人：徐兰丽   </w:t>
      </w:r>
    </w:p>
    <w:p>
      <w:pPr>
        <w:rPr>
          <w:rFonts w:ascii="仿宋" w:hAnsi="仿宋" w:eastAsia="仿宋" w:cs="仿宋"/>
          <w:sz w:val="32"/>
          <w:szCs w:val="32"/>
        </w:rPr>
      </w:pPr>
      <w:r>
        <w:rPr>
          <w:rFonts w:hint="eastAsia" w:ascii="仿宋" w:hAnsi="仿宋" w:eastAsia="仿宋" w:cs="仿宋"/>
          <w:sz w:val="32"/>
          <w:szCs w:val="32"/>
        </w:rPr>
        <w:t>联系电话：13633147086</w:t>
      </w:r>
    </w:p>
    <w:p>
      <w:pPr>
        <w:rPr>
          <w:rFonts w:ascii="仿宋" w:hAnsi="仿宋" w:eastAsia="仿宋" w:cs="仿宋"/>
          <w:sz w:val="32"/>
          <w:szCs w:val="32"/>
        </w:rPr>
      </w:pPr>
      <w:r>
        <w:rPr>
          <w:rFonts w:hint="eastAsia" w:ascii="仿宋" w:hAnsi="仿宋" w:eastAsia="仿宋" w:cs="仿宋"/>
          <w:sz w:val="32"/>
          <w:szCs w:val="32"/>
        </w:rPr>
        <w:t>单位地址：河北省承德市平泉市黄土梁子镇黄土梁子社区</w:t>
      </w:r>
    </w:p>
    <w:p>
      <w:pPr>
        <w:rPr>
          <w:rFonts w:ascii="仿宋" w:hAnsi="仿宋" w:eastAsia="仿宋" w:cs="仿宋"/>
          <w:sz w:val="32"/>
          <w:szCs w:val="32"/>
        </w:rPr>
      </w:pPr>
      <w:r>
        <w:rPr>
          <w:rFonts w:hint="eastAsia" w:ascii="仿宋" w:hAnsi="仿宋" w:eastAsia="仿宋" w:cs="仿宋"/>
          <w:sz w:val="32"/>
          <w:szCs w:val="32"/>
        </w:rPr>
        <w:t>邮政编码：067506</w:t>
      </w:r>
    </w:p>
    <w:p>
      <w:pPr>
        <w:rPr>
          <w:rFonts w:ascii="仿宋" w:hAnsi="仿宋" w:eastAsia="仿宋" w:cs="仿宋"/>
          <w:sz w:val="32"/>
          <w:szCs w:val="32"/>
        </w:rPr>
      </w:pPr>
    </w:p>
    <w:p>
      <w:pPr>
        <w:rPr>
          <w:rFonts w:ascii="仿宋" w:hAnsi="仿宋" w:eastAsia="仿宋" w:cs="仿宋"/>
          <w:sz w:val="32"/>
          <w:szCs w:val="32"/>
        </w:rPr>
      </w:pPr>
    </w:p>
    <w:p>
      <w:pPr>
        <w:pStyle w:val="4"/>
        <w:spacing w:line="600" w:lineRule="exact"/>
        <w:rPr>
          <w:rFonts w:ascii="仿宋" w:hAnsi="仿宋" w:eastAsia="仿宋" w:cs="仿宋"/>
          <w:bCs w:val="0"/>
          <w:sz w:val="36"/>
          <w:szCs w:val="36"/>
        </w:rPr>
      </w:pPr>
      <w:bookmarkStart w:id="0" w:name="_Toc18781"/>
      <w:r>
        <w:rPr>
          <w:rFonts w:hint="eastAsia" w:ascii="仿宋" w:hAnsi="仿宋" w:eastAsia="仿宋" w:cs="仿宋"/>
          <w:bCs w:val="0"/>
          <w:sz w:val="36"/>
          <w:szCs w:val="36"/>
        </w:rPr>
        <w:t>前    言</w:t>
      </w:r>
      <w:bookmarkEnd w:id="0"/>
    </w:p>
    <w:p>
      <w:pPr>
        <w:snapToGrid w:val="0"/>
        <w:spacing w:line="700" w:lineRule="exact"/>
        <w:jc w:val="left"/>
        <w:rPr>
          <w:rFonts w:ascii="仿宋" w:hAnsi="仿宋" w:eastAsia="仿宋" w:cs="仿宋"/>
          <w:bCs/>
          <w:sz w:val="32"/>
          <w:szCs w:val="32"/>
        </w:rPr>
      </w:pPr>
      <w:r>
        <w:rPr>
          <w:rFonts w:hint="eastAsia" w:ascii="仿宋" w:hAnsi="仿宋" w:eastAsia="仿宋" w:cs="仿宋"/>
          <w:bCs/>
          <w:sz w:val="32"/>
          <w:szCs w:val="32"/>
        </w:rPr>
        <w:t xml:space="preserve">    根据《中央财政衔接推进乡村振兴补助资金管理办法》、河北省财政厅《关于提前下达2023年中央财政衔接推进乡村振兴补助资金预算的通知》（冀财农）</w:t>
      </w:r>
      <w:r>
        <w:rPr>
          <w:rFonts w:hint="eastAsia" w:ascii="宋体" w:hAnsi="宋体" w:eastAsia="宋体" w:cs="宋体"/>
          <w:bCs/>
          <w:sz w:val="32"/>
          <w:szCs w:val="32"/>
        </w:rPr>
        <w:t>[</w:t>
      </w:r>
      <w:r>
        <w:rPr>
          <w:rFonts w:hint="eastAsia" w:ascii="仿宋" w:hAnsi="仿宋" w:eastAsia="仿宋" w:cs="仿宋"/>
          <w:bCs/>
          <w:sz w:val="32"/>
          <w:szCs w:val="32"/>
        </w:rPr>
        <w:t>2022</w:t>
      </w:r>
      <w:r>
        <w:rPr>
          <w:rFonts w:hint="eastAsia" w:ascii="宋体" w:hAnsi="宋体" w:eastAsia="宋体" w:cs="宋体"/>
          <w:bCs/>
          <w:sz w:val="32"/>
          <w:szCs w:val="32"/>
        </w:rPr>
        <w:t>]</w:t>
      </w:r>
      <w:r>
        <w:rPr>
          <w:rFonts w:hint="eastAsia" w:ascii="仿宋" w:hAnsi="仿宋" w:eastAsia="仿宋" w:cs="仿宋"/>
          <w:bCs/>
          <w:sz w:val="32"/>
          <w:szCs w:val="32"/>
        </w:rPr>
        <w:t>136号及平泉市财政局《关于下达2023年中央财政衔接推进乡村振兴补助资金预算指标的通知》文件的要求，按照专项资金使用、管理有关规定，为充分发挥中央财政衔接推进乡村振兴补助资金使用效益，结合黄土梁子林场现有生产、生活条件，编制了《平泉市国有黄土梁子林场2023年度中央财政欠发达国有林场巩固提升补助资金</w:t>
      </w:r>
      <w:r>
        <w:rPr>
          <w:rFonts w:hint="eastAsia" w:ascii="仿宋_GB2312" w:hAnsi="Verdana,ˎ̥" w:eastAsia="仿宋_GB2312"/>
          <w:color w:val="000000"/>
          <w:spacing w:val="-11"/>
          <w:sz w:val="32"/>
          <w:szCs w:val="32"/>
        </w:rPr>
        <w:t>项目实施方案</w:t>
      </w:r>
      <w:r>
        <w:rPr>
          <w:rFonts w:hint="eastAsia" w:ascii="仿宋" w:hAnsi="仿宋" w:eastAsia="仿宋" w:cs="仿宋"/>
          <w:bCs/>
          <w:sz w:val="32"/>
          <w:szCs w:val="32"/>
        </w:rPr>
        <w:t>》</w:t>
      </w:r>
      <w:r>
        <w:rPr>
          <w:rFonts w:hint="eastAsia" w:ascii="仿宋_GB2312" w:hAnsi="Verdana,ˎ̥" w:eastAsia="仿宋_GB2312"/>
          <w:color w:val="000000"/>
          <w:spacing w:val="-11"/>
          <w:sz w:val="32"/>
          <w:szCs w:val="32"/>
        </w:rPr>
        <w:t>。</w:t>
      </w:r>
    </w:p>
    <w:p>
      <w:pPr>
        <w:jc w:val="center"/>
        <w:rPr>
          <w:rFonts w:ascii="黑体" w:hAnsi="黑体" w:eastAsia="黑体" w:cs="黑体"/>
          <w:sz w:val="32"/>
          <w:szCs w:val="32"/>
        </w:rPr>
      </w:pPr>
    </w:p>
    <w:p>
      <w:pPr>
        <w:pStyle w:val="2"/>
        <w:rPr>
          <w:rFonts w:ascii="黑体" w:hAnsi="黑体" w:eastAsia="黑体" w:cs="黑体"/>
          <w:szCs w:val="32"/>
        </w:rPr>
      </w:pPr>
    </w:p>
    <w:p>
      <w:pPr>
        <w:pStyle w:val="2"/>
        <w:rPr>
          <w:rFonts w:ascii="黑体" w:hAnsi="黑体" w:eastAsia="黑体" w:cs="黑体"/>
          <w:szCs w:val="32"/>
        </w:rPr>
      </w:pPr>
    </w:p>
    <w:p>
      <w:pPr>
        <w:pStyle w:val="2"/>
        <w:rPr>
          <w:rFonts w:ascii="黑体" w:hAnsi="黑体" w:eastAsia="黑体" w:cs="黑体"/>
          <w:szCs w:val="32"/>
        </w:rPr>
      </w:pPr>
    </w:p>
    <w:p>
      <w:pPr>
        <w:pStyle w:val="2"/>
        <w:rPr>
          <w:rFonts w:ascii="黑体" w:hAnsi="黑体" w:eastAsia="黑体" w:cs="黑体"/>
          <w:szCs w:val="32"/>
        </w:rPr>
      </w:pPr>
    </w:p>
    <w:p>
      <w:pPr>
        <w:pStyle w:val="2"/>
        <w:rPr>
          <w:rFonts w:ascii="黑体" w:hAnsi="黑体" w:eastAsia="黑体" w:cs="黑体"/>
          <w:szCs w:val="32"/>
        </w:rPr>
      </w:pPr>
    </w:p>
    <w:p>
      <w:pPr>
        <w:pStyle w:val="2"/>
        <w:rPr>
          <w:rFonts w:ascii="黑体" w:hAnsi="黑体" w:eastAsia="黑体" w:cs="黑体"/>
          <w:szCs w:val="32"/>
        </w:rPr>
      </w:pPr>
    </w:p>
    <w:p>
      <w:pPr>
        <w:pStyle w:val="2"/>
        <w:rPr>
          <w:rFonts w:ascii="黑体" w:hAnsi="黑体" w:eastAsia="黑体" w:cs="黑体"/>
          <w:szCs w:val="32"/>
        </w:rPr>
      </w:pPr>
    </w:p>
    <w:p>
      <w:pPr>
        <w:pStyle w:val="2"/>
        <w:rPr>
          <w:rFonts w:ascii="黑体" w:hAnsi="黑体" w:eastAsia="黑体" w:cs="黑体"/>
          <w:szCs w:val="32"/>
        </w:rPr>
      </w:pPr>
    </w:p>
    <w:p>
      <w:pPr>
        <w:rPr>
          <w:rFonts w:ascii="黑体" w:hAnsi="黑体" w:eastAsia="黑体" w:cs="黑体"/>
          <w:sz w:val="32"/>
          <w:szCs w:val="32"/>
        </w:rPr>
      </w:pPr>
      <w:r>
        <w:rPr>
          <w:rFonts w:hint="eastAsia" w:ascii="黑体" w:hAnsi="黑体" w:eastAsia="黑体" w:cs="黑体"/>
          <w:sz w:val="32"/>
          <w:szCs w:val="32"/>
        </w:rPr>
        <w:br w:type="page"/>
      </w:r>
    </w:p>
    <w:p>
      <w:pPr>
        <w:jc w:val="center"/>
        <w:rPr>
          <w:rFonts w:ascii="黑体" w:hAnsi="黑体" w:eastAsia="黑体" w:cs="黑体"/>
          <w:sz w:val="32"/>
          <w:szCs w:val="32"/>
        </w:rPr>
      </w:pPr>
      <w:r>
        <w:rPr>
          <w:rFonts w:hint="eastAsia" w:ascii="黑体" w:hAnsi="黑体" w:eastAsia="黑体" w:cs="黑体"/>
          <w:sz w:val="32"/>
          <w:szCs w:val="32"/>
        </w:rPr>
        <w:t>目   录</w:t>
      </w:r>
    </w:p>
    <w:p>
      <w:pPr>
        <w:pStyle w:val="12"/>
        <w:tabs>
          <w:tab w:val="right" w:leader="dot" w:pos="8306"/>
        </w:tabs>
        <w:spacing w:line="400" w:lineRule="exact"/>
        <w:rPr>
          <w:rFonts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TOC \o "1-2" \h \u </w:instrText>
      </w:r>
      <w:r>
        <w:rPr>
          <w:rFonts w:hint="eastAsia" w:ascii="仿宋" w:hAnsi="仿宋" w:eastAsia="仿宋" w:cs="仿宋"/>
          <w:sz w:val="28"/>
          <w:szCs w:val="28"/>
        </w:rPr>
        <w:fldChar w:fldCharType="separate"/>
      </w:r>
      <w:r>
        <w:fldChar w:fldCharType="begin"/>
      </w:r>
      <w:r>
        <w:instrText xml:space="preserve"> HYPERLINK \l "_Toc24934" </w:instrText>
      </w:r>
      <w:r>
        <w:fldChar w:fldCharType="separate"/>
      </w:r>
      <w:r>
        <w:rPr>
          <w:rFonts w:hint="eastAsia" w:ascii="仿宋" w:hAnsi="仿宋" w:eastAsia="仿宋" w:cs="仿宋"/>
          <w:sz w:val="28"/>
          <w:szCs w:val="28"/>
        </w:rPr>
        <w:t>第一章 项目区及建设单位概况</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_Toc24934 \h </w:instrText>
      </w:r>
      <w:r>
        <w:rPr>
          <w:rFonts w:hint="eastAsia" w:ascii="仿宋" w:hAnsi="仿宋" w:eastAsia="仿宋" w:cs="仿宋"/>
          <w:sz w:val="28"/>
          <w:szCs w:val="28"/>
        </w:rPr>
        <w:fldChar w:fldCharType="separate"/>
      </w:r>
      <w:r>
        <w:rPr>
          <w:rFonts w:hint="eastAsia" w:ascii="仿宋" w:hAnsi="仿宋" w:eastAsia="仿宋" w:cs="仿宋"/>
          <w:sz w:val="28"/>
          <w:szCs w:val="28"/>
        </w:rPr>
        <w:t>1</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"_Toc2086" </w:instrText>
      </w:r>
      <w:r>
        <w:fldChar w:fldCharType="separate"/>
      </w:r>
      <w:r>
        <w:rPr>
          <w:rFonts w:hint="eastAsia" w:ascii="仿宋" w:hAnsi="仿宋" w:eastAsia="仿宋" w:cs="仿宋"/>
          <w:sz w:val="28"/>
          <w:szCs w:val="28"/>
        </w:rPr>
        <w:t>1.1自然地理位置</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_Toc2086 \h </w:instrText>
      </w:r>
      <w:r>
        <w:rPr>
          <w:rFonts w:hint="eastAsia" w:ascii="仿宋" w:hAnsi="仿宋" w:eastAsia="仿宋" w:cs="仿宋"/>
          <w:sz w:val="28"/>
          <w:szCs w:val="28"/>
        </w:rPr>
        <w:fldChar w:fldCharType="separate"/>
      </w:r>
      <w:r>
        <w:rPr>
          <w:rFonts w:hint="eastAsia" w:ascii="仿宋" w:hAnsi="仿宋" w:eastAsia="仿宋" w:cs="仿宋"/>
          <w:sz w:val="28"/>
          <w:szCs w:val="28"/>
        </w:rPr>
        <w:t>1</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"_Toc6788" </w:instrText>
      </w:r>
      <w:r>
        <w:fldChar w:fldCharType="separate"/>
      </w:r>
      <w:r>
        <w:rPr>
          <w:rFonts w:hint="eastAsia" w:ascii="仿宋" w:hAnsi="仿宋" w:eastAsia="仿宋" w:cs="仿宋"/>
          <w:sz w:val="28"/>
          <w:szCs w:val="28"/>
        </w:rPr>
        <w:t>1.2社会经济状况</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_Toc6788 \h </w:instrText>
      </w:r>
      <w:r>
        <w:rPr>
          <w:rFonts w:hint="eastAsia" w:ascii="仿宋" w:hAnsi="仿宋" w:eastAsia="仿宋" w:cs="仿宋"/>
          <w:sz w:val="28"/>
          <w:szCs w:val="28"/>
        </w:rPr>
        <w:fldChar w:fldCharType="separate"/>
      </w:r>
      <w:r>
        <w:rPr>
          <w:rFonts w:hint="eastAsia" w:ascii="仿宋" w:hAnsi="仿宋" w:eastAsia="仿宋" w:cs="仿宋"/>
          <w:sz w:val="28"/>
          <w:szCs w:val="28"/>
        </w:rPr>
        <w:t>2</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"_Toc5627" </w:instrText>
      </w:r>
      <w:r>
        <w:fldChar w:fldCharType="separate"/>
      </w:r>
      <w:r>
        <w:rPr>
          <w:rFonts w:hint="eastAsia" w:ascii="仿宋" w:hAnsi="仿宋" w:eastAsia="仿宋" w:cs="仿宋"/>
          <w:sz w:val="28"/>
          <w:szCs w:val="28"/>
        </w:rPr>
        <w:t>1.3建设单位基本情况</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_Toc5627 \h </w:instrText>
      </w:r>
      <w:r>
        <w:rPr>
          <w:rFonts w:hint="eastAsia" w:ascii="仿宋" w:hAnsi="仿宋" w:eastAsia="仿宋" w:cs="仿宋"/>
          <w:sz w:val="28"/>
          <w:szCs w:val="28"/>
        </w:rPr>
        <w:fldChar w:fldCharType="separate"/>
      </w:r>
      <w:r>
        <w:rPr>
          <w:rFonts w:hint="eastAsia" w:ascii="仿宋" w:hAnsi="仿宋" w:eastAsia="仿宋" w:cs="仿宋"/>
          <w:sz w:val="28"/>
          <w:szCs w:val="28"/>
        </w:rPr>
        <w:t>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"_Toc30860" </w:instrText>
      </w:r>
      <w:r>
        <w:fldChar w:fldCharType="separate"/>
      </w:r>
      <w:r>
        <w:rPr>
          <w:rFonts w:hint="eastAsia" w:ascii="仿宋" w:hAnsi="仿宋" w:eastAsia="仿宋" w:cs="仿宋"/>
          <w:sz w:val="28"/>
          <w:szCs w:val="28"/>
        </w:rPr>
        <w:t>1.4森林资源状况</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_Toc30860 \h </w:instrText>
      </w:r>
      <w:r>
        <w:rPr>
          <w:rFonts w:hint="eastAsia" w:ascii="仿宋" w:hAnsi="仿宋" w:eastAsia="仿宋" w:cs="仿宋"/>
          <w:sz w:val="28"/>
          <w:szCs w:val="28"/>
        </w:rPr>
        <w:fldChar w:fldCharType="separate"/>
      </w:r>
      <w:r>
        <w:rPr>
          <w:rFonts w:hint="eastAsia" w:ascii="仿宋" w:hAnsi="仿宋" w:eastAsia="仿宋" w:cs="仿宋"/>
          <w:sz w:val="28"/>
          <w:szCs w:val="28"/>
        </w:rPr>
        <w:t>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2"/>
        <w:tabs>
          <w:tab w:val="right" w:leader="dot" w:pos="8306"/>
        </w:tabs>
        <w:spacing w:line="400" w:lineRule="exact"/>
        <w:rPr>
          <w:rFonts w:ascii="仿宋" w:hAnsi="仿宋" w:eastAsia="仿宋" w:cs="仿宋"/>
          <w:sz w:val="28"/>
          <w:szCs w:val="28"/>
        </w:rPr>
      </w:pPr>
      <w:r>
        <w:fldChar w:fldCharType="begin"/>
      </w:r>
      <w:r>
        <w:instrText xml:space="preserve"> HYPERLINK \l "_Toc19432" </w:instrText>
      </w:r>
      <w:r>
        <w:fldChar w:fldCharType="separate"/>
      </w:r>
      <w:r>
        <w:rPr>
          <w:rFonts w:hint="eastAsia" w:ascii="仿宋" w:hAnsi="仿宋" w:eastAsia="仿宋" w:cs="仿宋"/>
          <w:sz w:val="28"/>
          <w:szCs w:val="28"/>
        </w:rPr>
        <w:t>第二章 项目概况</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_Toc19432 \h </w:instrText>
      </w:r>
      <w:r>
        <w:rPr>
          <w:rFonts w:hint="eastAsia" w:ascii="仿宋" w:hAnsi="仿宋" w:eastAsia="仿宋" w:cs="仿宋"/>
          <w:sz w:val="28"/>
          <w:szCs w:val="28"/>
        </w:rPr>
        <w:fldChar w:fldCharType="separate"/>
      </w:r>
      <w:r>
        <w:rPr>
          <w:rFonts w:hint="eastAsia" w:ascii="仿宋" w:hAnsi="仿宋" w:eastAsia="仿宋" w:cs="仿宋"/>
          <w:sz w:val="28"/>
          <w:szCs w:val="28"/>
        </w:rPr>
        <w:t>4</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"_Toc13016" </w:instrText>
      </w:r>
      <w:r>
        <w:fldChar w:fldCharType="separate"/>
      </w:r>
      <w:r>
        <w:rPr>
          <w:rFonts w:hint="eastAsia" w:ascii="仿宋" w:hAnsi="仿宋" w:eastAsia="仿宋" w:cs="仿宋"/>
          <w:sz w:val="28"/>
          <w:szCs w:val="28"/>
        </w:rPr>
        <w:t>2.1项目名称</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_Toc13016 \h </w:instrText>
      </w:r>
      <w:r>
        <w:rPr>
          <w:rFonts w:hint="eastAsia" w:ascii="仿宋" w:hAnsi="仿宋" w:eastAsia="仿宋" w:cs="仿宋"/>
          <w:sz w:val="28"/>
          <w:szCs w:val="28"/>
        </w:rPr>
        <w:fldChar w:fldCharType="separate"/>
      </w:r>
      <w:r>
        <w:rPr>
          <w:rFonts w:hint="eastAsia" w:ascii="仿宋" w:hAnsi="仿宋" w:eastAsia="仿宋" w:cs="仿宋"/>
          <w:sz w:val="28"/>
          <w:szCs w:val="28"/>
        </w:rPr>
        <w:t>4</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"_Toc9325" </w:instrText>
      </w:r>
      <w:r>
        <w:fldChar w:fldCharType="separate"/>
      </w:r>
      <w:r>
        <w:rPr>
          <w:rFonts w:hint="eastAsia" w:ascii="仿宋" w:hAnsi="仿宋" w:eastAsia="仿宋" w:cs="仿宋"/>
          <w:sz w:val="28"/>
          <w:szCs w:val="28"/>
        </w:rPr>
        <w:t>2.2项目建设单位</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_Toc9325 \h </w:instrText>
      </w:r>
      <w:r>
        <w:rPr>
          <w:rFonts w:hint="eastAsia" w:ascii="仿宋" w:hAnsi="仿宋" w:eastAsia="仿宋" w:cs="仿宋"/>
          <w:sz w:val="28"/>
          <w:szCs w:val="28"/>
        </w:rPr>
        <w:fldChar w:fldCharType="separate"/>
      </w:r>
      <w:r>
        <w:rPr>
          <w:rFonts w:hint="eastAsia" w:ascii="仿宋" w:hAnsi="仿宋" w:eastAsia="仿宋" w:cs="仿宋"/>
          <w:sz w:val="28"/>
          <w:szCs w:val="28"/>
        </w:rPr>
        <w:t>4</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"_Toc16431" </w:instrText>
      </w:r>
      <w:r>
        <w:fldChar w:fldCharType="separate"/>
      </w:r>
      <w:r>
        <w:rPr>
          <w:rFonts w:hint="eastAsia" w:ascii="仿宋" w:hAnsi="仿宋" w:eastAsia="仿宋" w:cs="仿宋"/>
          <w:sz w:val="28"/>
          <w:szCs w:val="28"/>
        </w:rPr>
        <w:t>2.3项目建设地点</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_Toc16431 \h </w:instrText>
      </w:r>
      <w:r>
        <w:rPr>
          <w:rFonts w:hint="eastAsia" w:ascii="仿宋" w:hAnsi="仿宋" w:eastAsia="仿宋" w:cs="仿宋"/>
          <w:sz w:val="28"/>
          <w:szCs w:val="28"/>
        </w:rPr>
        <w:fldChar w:fldCharType="separate"/>
      </w:r>
      <w:r>
        <w:rPr>
          <w:rFonts w:hint="eastAsia" w:ascii="仿宋" w:hAnsi="仿宋" w:eastAsia="仿宋" w:cs="仿宋"/>
          <w:sz w:val="28"/>
          <w:szCs w:val="28"/>
        </w:rPr>
        <w:t>5</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"_Toc12375" </w:instrText>
      </w:r>
      <w:r>
        <w:fldChar w:fldCharType="separate"/>
      </w:r>
      <w:r>
        <w:rPr>
          <w:rFonts w:hint="eastAsia" w:ascii="仿宋" w:hAnsi="仿宋" w:eastAsia="仿宋" w:cs="仿宋"/>
          <w:sz w:val="28"/>
          <w:szCs w:val="28"/>
        </w:rPr>
        <w:t>2.4项目性质</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_Toc12375 \h </w:instrText>
      </w:r>
      <w:r>
        <w:rPr>
          <w:rFonts w:hint="eastAsia" w:ascii="仿宋" w:hAnsi="仿宋" w:eastAsia="仿宋" w:cs="仿宋"/>
          <w:sz w:val="28"/>
          <w:szCs w:val="28"/>
        </w:rPr>
        <w:fldChar w:fldCharType="separate"/>
      </w:r>
      <w:r>
        <w:rPr>
          <w:rFonts w:hint="eastAsia" w:ascii="仿宋" w:hAnsi="仿宋" w:eastAsia="仿宋" w:cs="仿宋"/>
          <w:sz w:val="28"/>
          <w:szCs w:val="28"/>
        </w:rPr>
        <w:t>5</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"_Toc5827" </w:instrText>
      </w:r>
      <w:r>
        <w:fldChar w:fldCharType="separate"/>
      </w:r>
      <w:r>
        <w:rPr>
          <w:rFonts w:hint="eastAsia" w:ascii="仿宋" w:hAnsi="仿宋" w:eastAsia="仿宋" w:cs="仿宋"/>
          <w:sz w:val="28"/>
          <w:szCs w:val="28"/>
        </w:rPr>
        <w:t>2.5建设期限</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_Toc5827 \h </w:instrText>
      </w:r>
      <w:r>
        <w:rPr>
          <w:rFonts w:hint="eastAsia" w:ascii="仿宋" w:hAnsi="仿宋" w:eastAsia="仿宋" w:cs="仿宋"/>
          <w:sz w:val="28"/>
          <w:szCs w:val="28"/>
        </w:rPr>
        <w:fldChar w:fldCharType="separate"/>
      </w:r>
      <w:r>
        <w:rPr>
          <w:rFonts w:hint="eastAsia" w:ascii="仿宋" w:hAnsi="仿宋" w:eastAsia="仿宋" w:cs="仿宋"/>
          <w:sz w:val="28"/>
          <w:szCs w:val="28"/>
        </w:rPr>
        <w:t>5</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"_Toc31556" </w:instrText>
      </w:r>
      <w:r>
        <w:fldChar w:fldCharType="separate"/>
      </w:r>
      <w:r>
        <w:rPr>
          <w:rFonts w:hint="eastAsia" w:ascii="仿宋" w:hAnsi="仿宋" w:eastAsia="仿宋" w:cs="仿宋"/>
          <w:sz w:val="28"/>
          <w:szCs w:val="28"/>
        </w:rPr>
        <w:t>2.6项目建设内容和规模</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_Toc31556 \h </w:instrText>
      </w:r>
      <w:r>
        <w:rPr>
          <w:rFonts w:hint="eastAsia" w:ascii="仿宋" w:hAnsi="仿宋" w:eastAsia="仿宋" w:cs="仿宋"/>
          <w:sz w:val="28"/>
          <w:szCs w:val="28"/>
        </w:rPr>
        <w:fldChar w:fldCharType="separate"/>
      </w:r>
      <w:r>
        <w:rPr>
          <w:rFonts w:hint="eastAsia" w:ascii="仿宋" w:hAnsi="仿宋" w:eastAsia="仿宋" w:cs="仿宋"/>
          <w:sz w:val="28"/>
          <w:szCs w:val="28"/>
        </w:rPr>
        <w:t>5</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"_Toc4392" </w:instrText>
      </w:r>
      <w:r>
        <w:fldChar w:fldCharType="separate"/>
      </w:r>
      <w:r>
        <w:rPr>
          <w:rFonts w:hint="eastAsia" w:ascii="仿宋" w:hAnsi="仿宋" w:eastAsia="仿宋" w:cs="仿宋"/>
          <w:sz w:val="28"/>
          <w:szCs w:val="28"/>
        </w:rPr>
        <w:t>2.7项目建设的必要性和可行性</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_Toc4392 \h </w:instrText>
      </w:r>
      <w:r>
        <w:rPr>
          <w:rFonts w:hint="eastAsia" w:ascii="仿宋" w:hAnsi="仿宋" w:eastAsia="仿宋" w:cs="仿宋"/>
          <w:sz w:val="28"/>
          <w:szCs w:val="28"/>
        </w:rPr>
        <w:fldChar w:fldCharType="separate"/>
      </w:r>
      <w:r>
        <w:rPr>
          <w:rFonts w:hint="eastAsia" w:ascii="仿宋" w:hAnsi="仿宋" w:eastAsia="仿宋" w:cs="仿宋"/>
          <w:sz w:val="28"/>
          <w:szCs w:val="28"/>
        </w:rPr>
        <w:t>5</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2"/>
        <w:tabs>
          <w:tab w:val="right" w:leader="dot" w:pos="8306"/>
        </w:tabs>
        <w:spacing w:line="400" w:lineRule="exact"/>
        <w:rPr>
          <w:rFonts w:ascii="仿宋" w:hAnsi="仿宋" w:eastAsia="仿宋" w:cs="仿宋"/>
          <w:sz w:val="28"/>
          <w:szCs w:val="28"/>
        </w:rPr>
      </w:pPr>
      <w:r>
        <w:fldChar w:fldCharType="begin"/>
      </w:r>
      <w:r>
        <w:instrText xml:space="preserve"> HYPERLINK \l "_Toc9525" </w:instrText>
      </w:r>
      <w:r>
        <w:fldChar w:fldCharType="separate"/>
      </w:r>
      <w:r>
        <w:rPr>
          <w:rFonts w:hint="eastAsia" w:ascii="仿宋" w:hAnsi="仿宋" w:eastAsia="仿宋" w:cs="仿宋"/>
          <w:sz w:val="28"/>
          <w:szCs w:val="28"/>
        </w:rPr>
        <w:t>第三章  项目建设方案及实施进度</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_Toc9525 \h </w:instrText>
      </w:r>
      <w:r>
        <w:rPr>
          <w:rFonts w:hint="eastAsia" w:ascii="仿宋" w:hAnsi="仿宋" w:eastAsia="仿宋" w:cs="仿宋"/>
          <w:sz w:val="28"/>
          <w:szCs w:val="28"/>
        </w:rPr>
        <w:fldChar w:fldCharType="separate"/>
      </w:r>
      <w:r>
        <w:rPr>
          <w:rFonts w:hint="eastAsia" w:ascii="仿宋" w:hAnsi="仿宋" w:eastAsia="仿宋" w:cs="仿宋"/>
          <w:sz w:val="28"/>
          <w:szCs w:val="28"/>
        </w:rPr>
        <w:t>9</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"_Toc18449" </w:instrText>
      </w:r>
      <w:r>
        <w:fldChar w:fldCharType="separate"/>
      </w:r>
      <w:r>
        <w:rPr>
          <w:rFonts w:hint="eastAsia" w:ascii="仿宋" w:hAnsi="仿宋" w:eastAsia="仿宋" w:cs="仿宋"/>
          <w:sz w:val="28"/>
          <w:szCs w:val="28"/>
        </w:rPr>
        <w:t>3.1项目建设的背景</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_Toc18449 \h </w:instrText>
      </w:r>
      <w:r>
        <w:rPr>
          <w:rFonts w:hint="eastAsia" w:ascii="仿宋" w:hAnsi="仿宋" w:eastAsia="仿宋" w:cs="仿宋"/>
          <w:sz w:val="28"/>
          <w:szCs w:val="28"/>
        </w:rPr>
        <w:fldChar w:fldCharType="separate"/>
      </w:r>
      <w:r>
        <w:rPr>
          <w:rFonts w:hint="eastAsia" w:ascii="仿宋" w:hAnsi="仿宋" w:eastAsia="仿宋" w:cs="仿宋"/>
          <w:sz w:val="28"/>
          <w:szCs w:val="28"/>
        </w:rPr>
        <w:t>9</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"_Toc25064" </w:instrText>
      </w:r>
      <w:r>
        <w:fldChar w:fldCharType="separate"/>
      </w:r>
      <w:r>
        <w:rPr>
          <w:rFonts w:hint="eastAsia" w:ascii="仿宋" w:hAnsi="仿宋" w:eastAsia="仿宋" w:cs="仿宋"/>
          <w:sz w:val="28"/>
          <w:szCs w:val="28"/>
        </w:rPr>
        <w:t>3.2建设目标</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_Toc25064 \h </w:instrText>
      </w:r>
      <w:r>
        <w:rPr>
          <w:rFonts w:hint="eastAsia" w:ascii="仿宋" w:hAnsi="仿宋" w:eastAsia="仿宋" w:cs="仿宋"/>
          <w:sz w:val="28"/>
          <w:szCs w:val="28"/>
        </w:rPr>
        <w:fldChar w:fldCharType="separate"/>
      </w:r>
      <w:r>
        <w:rPr>
          <w:rFonts w:hint="eastAsia" w:ascii="仿宋" w:hAnsi="仿宋" w:eastAsia="仿宋" w:cs="仿宋"/>
          <w:sz w:val="28"/>
          <w:szCs w:val="28"/>
        </w:rPr>
        <w:t>10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"_Toc28365" </w:instrText>
      </w:r>
      <w:r>
        <w:fldChar w:fldCharType="separate"/>
      </w:r>
      <w:r>
        <w:rPr>
          <w:rFonts w:hint="eastAsia" w:ascii="仿宋" w:hAnsi="仿宋" w:eastAsia="仿宋" w:cs="仿宋"/>
          <w:sz w:val="28"/>
          <w:szCs w:val="28"/>
        </w:rPr>
        <w:t>3.3项目建设布局</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_Toc28365 \h </w:instrText>
      </w:r>
      <w:r>
        <w:rPr>
          <w:rFonts w:hint="eastAsia" w:ascii="仿宋" w:hAnsi="仿宋" w:eastAsia="仿宋" w:cs="仿宋"/>
          <w:sz w:val="28"/>
          <w:szCs w:val="28"/>
        </w:rPr>
        <w:fldChar w:fldCharType="separate"/>
      </w:r>
      <w:r>
        <w:rPr>
          <w:rFonts w:hint="eastAsia" w:ascii="仿宋" w:hAnsi="仿宋" w:eastAsia="仿宋" w:cs="仿宋"/>
          <w:sz w:val="28"/>
          <w:szCs w:val="28"/>
        </w:rPr>
        <w:t>10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"_Toc21458" </w:instrText>
      </w:r>
      <w:r>
        <w:fldChar w:fldCharType="separate"/>
      </w:r>
      <w:r>
        <w:rPr>
          <w:rFonts w:hint="eastAsia" w:ascii="仿宋" w:hAnsi="仿宋" w:eastAsia="仿宋" w:cs="仿宋"/>
          <w:sz w:val="28"/>
          <w:szCs w:val="28"/>
        </w:rPr>
        <w:t>3.4主要建设内容和规模</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_Toc21458 \h </w:instrText>
      </w:r>
      <w:r>
        <w:rPr>
          <w:rFonts w:hint="eastAsia" w:ascii="仿宋" w:hAnsi="仿宋" w:eastAsia="仿宋" w:cs="仿宋"/>
          <w:sz w:val="28"/>
          <w:szCs w:val="28"/>
        </w:rPr>
        <w:fldChar w:fldCharType="separate"/>
      </w:r>
      <w:r>
        <w:rPr>
          <w:rFonts w:hint="eastAsia" w:ascii="仿宋" w:hAnsi="仿宋" w:eastAsia="仿宋" w:cs="仿宋"/>
          <w:sz w:val="28"/>
          <w:szCs w:val="28"/>
        </w:rPr>
        <w:t>11</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"_Toc28892" </w:instrText>
      </w:r>
      <w:r>
        <w:fldChar w:fldCharType="separate"/>
      </w:r>
      <w:r>
        <w:rPr>
          <w:rFonts w:hint="eastAsia" w:ascii="仿宋" w:hAnsi="仿宋" w:eastAsia="仿宋" w:cs="仿宋"/>
          <w:sz w:val="28"/>
          <w:szCs w:val="28"/>
        </w:rPr>
        <w:t>3.5生产技术方案</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_Toc28892 \h </w:instrText>
      </w:r>
      <w:r>
        <w:rPr>
          <w:rFonts w:hint="eastAsia" w:ascii="仿宋" w:hAnsi="仿宋" w:eastAsia="仿宋" w:cs="仿宋"/>
          <w:sz w:val="28"/>
          <w:szCs w:val="28"/>
        </w:rPr>
        <w:fldChar w:fldCharType="separate"/>
      </w:r>
      <w:r>
        <w:rPr>
          <w:rFonts w:hint="eastAsia" w:ascii="仿宋" w:hAnsi="仿宋" w:eastAsia="仿宋" w:cs="仿宋"/>
          <w:sz w:val="28"/>
          <w:szCs w:val="28"/>
        </w:rPr>
        <w:t>11</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"_Toc10207" </w:instrText>
      </w:r>
      <w:r>
        <w:fldChar w:fldCharType="separate"/>
      </w:r>
      <w:r>
        <w:rPr>
          <w:rFonts w:hint="eastAsia" w:ascii="仿宋" w:hAnsi="仿宋" w:eastAsia="仿宋" w:cs="仿宋"/>
          <w:sz w:val="28"/>
          <w:szCs w:val="28"/>
        </w:rPr>
        <w:t>3.6项目实施进度安排</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_Toc10207 \h </w:instrText>
      </w:r>
      <w:r>
        <w:rPr>
          <w:rFonts w:hint="eastAsia" w:ascii="仿宋" w:hAnsi="仿宋" w:eastAsia="仿宋" w:cs="仿宋"/>
          <w:sz w:val="28"/>
          <w:szCs w:val="28"/>
        </w:rPr>
        <w:fldChar w:fldCharType="separate"/>
      </w:r>
      <w:r>
        <w:rPr>
          <w:rFonts w:hint="eastAsia" w:ascii="仿宋" w:hAnsi="仿宋" w:eastAsia="仿宋" w:cs="仿宋"/>
          <w:sz w:val="28"/>
          <w:szCs w:val="28"/>
        </w:rPr>
        <w:t>19</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2"/>
        <w:tabs>
          <w:tab w:val="right" w:leader="dot" w:pos="8306"/>
        </w:tabs>
        <w:spacing w:line="400" w:lineRule="exact"/>
        <w:rPr>
          <w:rFonts w:ascii="仿宋" w:hAnsi="仿宋" w:eastAsia="仿宋" w:cs="仿宋"/>
          <w:sz w:val="28"/>
          <w:szCs w:val="28"/>
        </w:rPr>
      </w:pPr>
      <w:r>
        <w:fldChar w:fldCharType="begin"/>
      </w:r>
      <w:r>
        <w:instrText xml:space="preserve"> HYPERLINK \l "_Toc16671" </w:instrText>
      </w:r>
      <w:r>
        <w:fldChar w:fldCharType="separate"/>
      </w:r>
      <w:r>
        <w:rPr>
          <w:rFonts w:hint="eastAsia" w:ascii="仿宋" w:hAnsi="仿宋" w:eastAsia="仿宋" w:cs="仿宋"/>
          <w:sz w:val="28"/>
          <w:szCs w:val="28"/>
        </w:rPr>
        <w:t>第四章  投资概算与资金筹措</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_Toc16671 \h </w:instrText>
      </w:r>
      <w:r>
        <w:rPr>
          <w:rFonts w:hint="eastAsia" w:ascii="仿宋" w:hAnsi="仿宋" w:eastAsia="仿宋" w:cs="仿宋"/>
          <w:sz w:val="28"/>
          <w:szCs w:val="28"/>
        </w:rPr>
        <w:fldChar w:fldCharType="separate"/>
      </w:r>
      <w:r>
        <w:rPr>
          <w:rFonts w:hint="eastAsia" w:ascii="仿宋" w:hAnsi="仿宋" w:eastAsia="仿宋" w:cs="仿宋"/>
          <w:sz w:val="28"/>
          <w:szCs w:val="28"/>
        </w:rPr>
        <w:t>20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"_Toc16502" </w:instrText>
      </w:r>
      <w:r>
        <w:fldChar w:fldCharType="separate"/>
      </w:r>
      <w:r>
        <w:rPr>
          <w:rFonts w:hint="eastAsia" w:ascii="仿宋" w:hAnsi="仿宋" w:eastAsia="仿宋" w:cs="仿宋"/>
          <w:sz w:val="28"/>
          <w:szCs w:val="28"/>
        </w:rPr>
        <w:t>4.1投资概算依据</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_Toc16502 \h </w:instrText>
      </w:r>
      <w:r>
        <w:rPr>
          <w:rFonts w:hint="eastAsia" w:ascii="仿宋" w:hAnsi="仿宋" w:eastAsia="仿宋" w:cs="仿宋"/>
          <w:sz w:val="28"/>
          <w:szCs w:val="28"/>
        </w:rPr>
        <w:fldChar w:fldCharType="separate"/>
      </w:r>
      <w:r>
        <w:rPr>
          <w:rFonts w:hint="eastAsia" w:ascii="仿宋" w:hAnsi="仿宋" w:eastAsia="仿宋" w:cs="仿宋"/>
          <w:sz w:val="28"/>
          <w:szCs w:val="28"/>
        </w:rPr>
        <w:t>20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"_Toc3934" </w:instrText>
      </w:r>
      <w:r>
        <w:fldChar w:fldCharType="separate"/>
      </w:r>
      <w:r>
        <w:rPr>
          <w:rFonts w:hint="eastAsia" w:ascii="仿宋" w:hAnsi="仿宋" w:eastAsia="仿宋" w:cs="仿宋"/>
          <w:sz w:val="28"/>
          <w:szCs w:val="28"/>
        </w:rPr>
        <w:t>4.2概算内容及资金使用</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_Toc3934 \h </w:instrText>
      </w:r>
      <w:r>
        <w:rPr>
          <w:rFonts w:hint="eastAsia" w:ascii="仿宋" w:hAnsi="仿宋" w:eastAsia="仿宋" w:cs="仿宋"/>
          <w:sz w:val="28"/>
          <w:szCs w:val="28"/>
        </w:rPr>
        <w:fldChar w:fldCharType="separate"/>
      </w:r>
      <w:r>
        <w:rPr>
          <w:rFonts w:hint="eastAsia" w:ascii="仿宋" w:hAnsi="仿宋" w:eastAsia="仿宋" w:cs="仿宋"/>
          <w:sz w:val="28"/>
          <w:szCs w:val="28"/>
        </w:rPr>
        <w:t>20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"_Toc29004" </w:instrText>
      </w:r>
      <w:r>
        <w:fldChar w:fldCharType="separate"/>
      </w:r>
      <w:r>
        <w:rPr>
          <w:rFonts w:hint="eastAsia" w:ascii="仿宋" w:hAnsi="仿宋" w:eastAsia="仿宋" w:cs="仿宋"/>
          <w:sz w:val="28"/>
          <w:szCs w:val="28"/>
        </w:rPr>
        <w:t>4.3资金筹措</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_Toc29004 \h </w:instrText>
      </w:r>
      <w:r>
        <w:rPr>
          <w:rFonts w:hint="eastAsia" w:ascii="仿宋" w:hAnsi="仿宋" w:eastAsia="仿宋" w:cs="仿宋"/>
          <w:sz w:val="28"/>
          <w:szCs w:val="28"/>
        </w:rPr>
        <w:fldChar w:fldCharType="separate"/>
      </w:r>
      <w:r>
        <w:rPr>
          <w:rFonts w:hint="eastAsia" w:ascii="仿宋" w:hAnsi="仿宋" w:eastAsia="仿宋" w:cs="仿宋"/>
          <w:sz w:val="28"/>
          <w:szCs w:val="28"/>
        </w:rPr>
        <w:t>20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"_Toc32580" </w:instrText>
      </w:r>
      <w:r>
        <w:fldChar w:fldCharType="separate"/>
      </w:r>
      <w:r>
        <w:rPr>
          <w:rFonts w:hint="eastAsia" w:ascii="仿宋" w:hAnsi="仿宋" w:eastAsia="仿宋" w:cs="仿宋"/>
          <w:sz w:val="28"/>
          <w:szCs w:val="28"/>
        </w:rPr>
        <w:t>4.4资金管理</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_Toc32580 \h </w:instrText>
      </w:r>
      <w:r>
        <w:rPr>
          <w:rFonts w:hint="eastAsia" w:ascii="仿宋" w:hAnsi="仿宋" w:eastAsia="仿宋" w:cs="仿宋"/>
          <w:sz w:val="28"/>
          <w:szCs w:val="28"/>
        </w:rPr>
        <w:fldChar w:fldCharType="separate"/>
      </w:r>
      <w:r>
        <w:rPr>
          <w:rFonts w:hint="eastAsia" w:ascii="仿宋" w:hAnsi="仿宋" w:eastAsia="仿宋" w:cs="仿宋"/>
          <w:sz w:val="28"/>
          <w:szCs w:val="28"/>
        </w:rPr>
        <w:t>20</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2"/>
        <w:tabs>
          <w:tab w:val="right" w:leader="dot" w:pos="8306"/>
        </w:tabs>
        <w:spacing w:line="400" w:lineRule="exact"/>
        <w:rPr>
          <w:rFonts w:ascii="仿宋" w:hAnsi="仿宋" w:eastAsia="仿宋" w:cs="仿宋"/>
          <w:sz w:val="28"/>
          <w:szCs w:val="28"/>
        </w:rPr>
      </w:pPr>
      <w:r>
        <w:fldChar w:fldCharType="begin"/>
      </w:r>
      <w:r>
        <w:instrText xml:space="preserve"> HYPERLINK \l "_Toc6915" </w:instrText>
      </w:r>
      <w:r>
        <w:fldChar w:fldCharType="separate"/>
      </w:r>
      <w:r>
        <w:rPr>
          <w:rFonts w:hint="eastAsia" w:ascii="仿宋" w:hAnsi="仿宋" w:eastAsia="仿宋" w:cs="仿宋"/>
          <w:sz w:val="28"/>
          <w:szCs w:val="28"/>
        </w:rPr>
        <w:t>第五章  效益分析及绩效目标</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_Toc6915 \h </w:instrText>
      </w:r>
      <w:r>
        <w:rPr>
          <w:rFonts w:hint="eastAsia" w:ascii="仿宋" w:hAnsi="仿宋" w:eastAsia="仿宋" w:cs="仿宋"/>
          <w:sz w:val="28"/>
          <w:szCs w:val="28"/>
        </w:rPr>
        <w:fldChar w:fldCharType="separate"/>
      </w:r>
      <w:r>
        <w:rPr>
          <w:rFonts w:hint="eastAsia" w:ascii="仿宋" w:hAnsi="仿宋" w:eastAsia="仿宋" w:cs="仿宋"/>
          <w:sz w:val="28"/>
          <w:szCs w:val="28"/>
        </w:rPr>
        <w:t>21</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"_Toc5123" </w:instrText>
      </w:r>
      <w:r>
        <w:fldChar w:fldCharType="separate"/>
      </w:r>
      <w:r>
        <w:rPr>
          <w:rFonts w:hint="eastAsia" w:ascii="仿宋" w:hAnsi="仿宋" w:eastAsia="仿宋" w:cs="仿宋"/>
          <w:sz w:val="28"/>
          <w:szCs w:val="28"/>
        </w:rPr>
        <w:t>5.1生态效益分析</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_Toc5123 \h </w:instrText>
      </w:r>
      <w:r>
        <w:rPr>
          <w:rFonts w:hint="eastAsia" w:ascii="仿宋" w:hAnsi="仿宋" w:eastAsia="仿宋" w:cs="仿宋"/>
          <w:sz w:val="28"/>
          <w:szCs w:val="28"/>
        </w:rPr>
        <w:fldChar w:fldCharType="separate"/>
      </w:r>
      <w:r>
        <w:rPr>
          <w:rFonts w:hint="eastAsia" w:ascii="仿宋" w:hAnsi="仿宋" w:eastAsia="仿宋" w:cs="仿宋"/>
          <w:sz w:val="28"/>
          <w:szCs w:val="28"/>
        </w:rPr>
        <w:t>21</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"_Toc11446" </w:instrText>
      </w:r>
      <w:r>
        <w:fldChar w:fldCharType="separate"/>
      </w:r>
      <w:r>
        <w:rPr>
          <w:rFonts w:hint="eastAsia" w:ascii="仿宋" w:hAnsi="仿宋" w:eastAsia="仿宋" w:cs="仿宋"/>
          <w:sz w:val="28"/>
          <w:szCs w:val="28"/>
        </w:rPr>
        <w:t>5.2社会效益分析</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_Toc11446 \h </w:instrText>
      </w:r>
      <w:r>
        <w:rPr>
          <w:rFonts w:hint="eastAsia" w:ascii="仿宋" w:hAnsi="仿宋" w:eastAsia="仿宋" w:cs="仿宋"/>
          <w:sz w:val="28"/>
          <w:szCs w:val="28"/>
        </w:rPr>
        <w:fldChar w:fldCharType="separate"/>
      </w:r>
      <w:r>
        <w:rPr>
          <w:rFonts w:hint="eastAsia" w:ascii="仿宋" w:hAnsi="仿宋" w:eastAsia="仿宋" w:cs="仿宋"/>
          <w:sz w:val="28"/>
          <w:szCs w:val="28"/>
        </w:rPr>
        <w:t>22</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"_Toc24119" </w:instrText>
      </w:r>
      <w:r>
        <w:fldChar w:fldCharType="separate"/>
      </w:r>
      <w:r>
        <w:rPr>
          <w:rFonts w:hint="eastAsia" w:ascii="仿宋" w:hAnsi="仿宋" w:eastAsia="仿宋" w:cs="仿宋"/>
          <w:sz w:val="28"/>
          <w:szCs w:val="28"/>
        </w:rPr>
        <w:t>5.3经济效益分析</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_Toc24119 \h </w:instrText>
      </w:r>
      <w:r>
        <w:rPr>
          <w:rFonts w:hint="eastAsia" w:ascii="仿宋" w:hAnsi="仿宋" w:eastAsia="仿宋" w:cs="仿宋"/>
          <w:sz w:val="28"/>
          <w:szCs w:val="28"/>
        </w:rPr>
        <w:fldChar w:fldCharType="separate"/>
      </w:r>
      <w:r>
        <w:rPr>
          <w:rFonts w:hint="eastAsia" w:ascii="仿宋" w:hAnsi="仿宋" w:eastAsia="仿宋" w:cs="仿宋"/>
          <w:sz w:val="28"/>
          <w:szCs w:val="28"/>
        </w:rPr>
        <w:t>22</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2"/>
        <w:tabs>
          <w:tab w:val="right" w:leader="dot" w:pos="8306"/>
        </w:tabs>
        <w:spacing w:line="400" w:lineRule="exact"/>
        <w:rPr>
          <w:rFonts w:ascii="仿宋" w:hAnsi="仿宋" w:eastAsia="仿宋" w:cs="仿宋"/>
          <w:sz w:val="28"/>
          <w:szCs w:val="28"/>
        </w:rPr>
      </w:pPr>
      <w:r>
        <w:fldChar w:fldCharType="begin"/>
      </w:r>
      <w:r>
        <w:instrText xml:space="preserve"> HYPERLINK \l "_Toc727" </w:instrText>
      </w:r>
      <w:r>
        <w:fldChar w:fldCharType="separate"/>
      </w:r>
      <w:r>
        <w:rPr>
          <w:rFonts w:hint="eastAsia" w:ascii="仿宋" w:hAnsi="仿宋" w:eastAsia="仿宋" w:cs="仿宋"/>
          <w:sz w:val="28"/>
          <w:szCs w:val="28"/>
        </w:rPr>
        <w:t>第六章 项目运行保障</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_Toc727 \h </w:instrText>
      </w:r>
      <w:r>
        <w:rPr>
          <w:rFonts w:hint="eastAsia" w:ascii="仿宋" w:hAnsi="仿宋" w:eastAsia="仿宋" w:cs="仿宋"/>
          <w:sz w:val="28"/>
          <w:szCs w:val="28"/>
        </w:rPr>
        <w:fldChar w:fldCharType="separate"/>
      </w:r>
      <w:r>
        <w:rPr>
          <w:rFonts w:hint="eastAsia" w:ascii="仿宋" w:hAnsi="仿宋" w:eastAsia="仿宋" w:cs="仿宋"/>
          <w:sz w:val="28"/>
          <w:szCs w:val="28"/>
        </w:rPr>
        <w:t>23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"_Toc9666" </w:instrText>
      </w:r>
      <w:r>
        <w:fldChar w:fldCharType="separate"/>
      </w:r>
      <w:r>
        <w:rPr>
          <w:rFonts w:hint="eastAsia" w:ascii="仿宋" w:hAnsi="仿宋" w:eastAsia="仿宋" w:cs="仿宋"/>
          <w:sz w:val="28"/>
          <w:szCs w:val="28"/>
        </w:rPr>
        <w:t>6.1工程管理</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_Toc9666 \h </w:instrText>
      </w:r>
      <w:r>
        <w:rPr>
          <w:rFonts w:hint="eastAsia" w:ascii="仿宋" w:hAnsi="仿宋" w:eastAsia="仿宋" w:cs="仿宋"/>
          <w:sz w:val="28"/>
          <w:szCs w:val="28"/>
        </w:rPr>
        <w:fldChar w:fldCharType="separate"/>
      </w:r>
      <w:r>
        <w:rPr>
          <w:rFonts w:hint="eastAsia" w:ascii="仿宋" w:hAnsi="仿宋" w:eastAsia="仿宋" w:cs="仿宋"/>
          <w:sz w:val="28"/>
          <w:szCs w:val="28"/>
        </w:rPr>
        <w:t>23</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7"/>
        <w:tabs>
          <w:tab w:val="right" w:leader="dot" w:pos="8306"/>
        </w:tabs>
        <w:spacing w:line="400" w:lineRule="exact"/>
        <w:rPr>
          <w:rFonts w:ascii="仿宋" w:hAnsi="仿宋" w:eastAsia="仿宋" w:cs="仿宋"/>
          <w:sz w:val="28"/>
          <w:szCs w:val="28"/>
        </w:rPr>
      </w:pPr>
      <w:r>
        <w:fldChar w:fldCharType="begin"/>
      </w:r>
      <w:r>
        <w:instrText xml:space="preserve"> HYPERLINK \l "_Toc5643" </w:instrText>
      </w:r>
      <w:r>
        <w:fldChar w:fldCharType="separate"/>
      </w:r>
      <w:r>
        <w:rPr>
          <w:rFonts w:hint="eastAsia" w:ascii="仿宋" w:hAnsi="仿宋" w:eastAsia="仿宋" w:cs="仿宋"/>
          <w:sz w:val="28"/>
          <w:szCs w:val="28"/>
        </w:rPr>
        <w:t>6.2内业管理</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_Toc5643 \h </w:instrText>
      </w:r>
      <w:r>
        <w:rPr>
          <w:rFonts w:hint="eastAsia" w:ascii="仿宋" w:hAnsi="仿宋" w:eastAsia="仿宋" w:cs="仿宋"/>
          <w:sz w:val="28"/>
          <w:szCs w:val="28"/>
        </w:rPr>
        <w:fldChar w:fldCharType="separate"/>
      </w:r>
      <w:r>
        <w:rPr>
          <w:rFonts w:hint="eastAsia" w:ascii="仿宋" w:hAnsi="仿宋" w:eastAsia="仿宋" w:cs="仿宋"/>
          <w:sz w:val="28"/>
          <w:szCs w:val="28"/>
        </w:rPr>
        <w:t>24</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2"/>
        <w:tabs>
          <w:tab w:val="right" w:leader="dot" w:pos="8306"/>
        </w:tabs>
        <w:spacing w:line="400" w:lineRule="exact"/>
        <w:rPr>
          <w:rFonts w:ascii="仿宋" w:hAnsi="仿宋" w:eastAsia="仿宋" w:cs="仿宋"/>
          <w:sz w:val="28"/>
          <w:szCs w:val="28"/>
        </w:rPr>
      </w:pPr>
      <w:r>
        <w:fldChar w:fldCharType="begin"/>
      </w:r>
      <w:r>
        <w:instrText xml:space="preserve"> HYPERLINK \l "_Toc22462" </w:instrText>
      </w:r>
      <w:r>
        <w:fldChar w:fldCharType="separate"/>
      </w:r>
      <w:r>
        <w:rPr>
          <w:rFonts w:hint="eastAsia" w:ascii="仿宋" w:hAnsi="仿宋" w:eastAsia="仿宋" w:cs="仿宋"/>
          <w:sz w:val="28"/>
          <w:szCs w:val="28"/>
        </w:rPr>
        <w:t>附表、附图及附件</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_Toc22462 \h </w:instrText>
      </w:r>
      <w:r>
        <w:rPr>
          <w:rFonts w:hint="eastAsia" w:ascii="仿宋" w:hAnsi="仿宋" w:eastAsia="仿宋" w:cs="仿宋"/>
          <w:sz w:val="28"/>
          <w:szCs w:val="28"/>
        </w:rPr>
        <w:fldChar w:fldCharType="separate"/>
      </w:r>
      <w:r>
        <w:rPr>
          <w:rFonts w:hint="eastAsia" w:ascii="仿宋" w:hAnsi="仿宋" w:eastAsia="仿宋" w:cs="仿宋"/>
          <w:sz w:val="28"/>
          <w:szCs w:val="28"/>
        </w:rPr>
        <w:t>26</w:t>
      </w:r>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2"/>
        <w:spacing w:line="480" w:lineRule="exact"/>
        <w:outlineLvl w:val="1"/>
        <w:rPr>
          <w:rFonts w:ascii="黑体" w:hAnsi="黑体" w:eastAsia="黑体" w:cs="黑体"/>
          <w:sz w:val="36"/>
          <w:szCs w:val="36"/>
        </w:rPr>
        <w:sectPr>
          <w:pgSz w:w="11906" w:h="16838"/>
          <w:pgMar w:top="1440" w:right="1800" w:bottom="1440" w:left="1800" w:header="851" w:footer="992" w:gutter="0"/>
          <w:cols w:space="425" w:num="1"/>
          <w:docGrid w:type="lines" w:linePitch="312" w:charSpace="0"/>
        </w:sectPr>
      </w:pPr>
      <w:r>
        <w:rPr>
          <w:rFonts w:hint="eastAsia" w:ascii="仿宋" w:hAnsi="仿宋" w:eastAsia="仿宋" w:cs="仿宋"/>
          <w:sz w:val="28"/>
          <w:szCs w:val="28"/>
        </w:rPr>
        <w:fldChar w:fldCharType="end"/>
      </w:r>
    </w:p>
    <w:p>
      <w:pPr>
        <w:jc w:val="center"/>
        <w:rPr>
          <w:rFonts w:ascii="黑体" w:hAnsi="黑体" w:eastAsia="黑体" w:cs="黑体"/>
          <w:sz w:val="36"/>
          <w:szCs w:val="36"/>
        </w:rPr>
      </w:pPr>
      <w:r>
        <w:rPr>
          <w:rFonts w:hint="eastAsia" w:ascii="黑体" w:hAnsi="黑体" w:eastAsia="黑体" w:cs="黑体"/>
          <w:sz w:val="36"/>
          <w:szCs w:val="36"/>
        </w:rPr>
        <w:t>2023年度中央财政</w:t>
      </w:r>
    </w:p>
    <w:p>
      <w:pPr>
        <w:spacing w:after="312" w:afterLines="100"/>
        <w:jc w:val="center"/>
        <w:rPr>
          <w:rFonts w:ascii="黑体" w:hAnsi="黑体" w:eastAsia="黑体" w:cs="黑体"/>
          <w:sz w:val="32"/>
          <w:szCs w:val="32"/>
        </w:rPr>
      </w:pPr>
      <w:r>
        <w:rPr>
          <w:rFonts w:hint="eastAsia" w:ascii="黑体" w:hAnsi="黑体" w:eastAsia="黑体" w:cs="黑体"/>
          <w:sz w:val="36"/>
          <w:szCs w:val="36"/>
        </w:rPr>
        <w:t>欠发达国有林场巩固提升补助资金项目实施方案</w:t>
      </w:r>
    </w:p>
    <w:p>
      <w:pPr>
        <w:pStyle w:val="4"/>
      </w:pPr>
      <w:bookmarkStart w:id="1" w:name="_Toc24934"/>
      <w:r>
        <w:rPr>
          <w:rFonts w:hint="eastAsia"/>
        </w:rPr>
        <w:t>第一章 项目区及建设单位概况</w:t>
      </w:r>
      <w:bookmarkEnd w:id="1"/>
    </w:p>
    <w:p>
      <w:pPr>
        <w:pStyle w:val="5"/>
      </w:pPr>
      <w:bookmarkStart w:id="2" w:name="_Toc91346381"/>
      <w:bookmarkStart w:id="3" w:name="_Toc91348124"/>
      <w:bookmarkStart w:id="4" w:name="_Toc2086"/>
      <w:r>
        <w:rPr>
          <w:rFonts w:hint="eastAsia"/>
        </w:rPr>
        <w:t>1.1自然地理位置</w:t>
      </w:r>
      <w:bookmarkEnd w:id="2"/>
      <w:bookmarkEnd w:id="3"/>
      <w:bookmarkEnd w:id="4"/>
    </w:p>
    <w:p>
      <w:pPr>
        <w:widowControl/>
        <w:adjustRightInd w:val="0"/>
        <w:snapToGrid w:val="0"/>
        <w:spacing w:line="360" w:lineRule="auto"/>
        <w:ind w:firstLine="636" w:firstLineChars="199"/>
        <w:rPr>
          <w:rFonts w:ascii="仿宋" w:hAnsi="仿宋" w:eastAsia="仿宋" w:cs="仿宋"/>
          <w:sz w:val="32"/>
          <w:szCs w:val="32"/>
        </w:rPr>
      </w:pPr>
      <w:r>
        <w:rPr>
          <w:rFonts w:hint="eastAsia" w:ascii="仿宋" w:hAnsi="仿宋" w:eastAsia="仿宋" w:cs="仿宋"/>
          <w:sz w:val="32"/>
          <w:szCs w:val="32"/>
        </w:rPr>
        <w:t>河北省平泉市国有黄土梁子林场地处河北省东北部，东经115°54′-119°15′，北纬40°12′-42°40′，北与内蒙古自治区宁城县接壤，西南距北京320km，西距承德市110km。林场辖区含三镇二乡，方圆604 km</w:t>
      </w:r>
      <w:r>
        <w:rPr>
          <w:rFonts w:hint="eastAsia" w:ascii="仿宋" w:hAnsi="仿宋" w:eastAsia="仿宋" w:cs="仿宋"/>
          <w:sz w:val="32"/>
          <w:szCs w:val="32"/>
          <w:vertAlign w:val="superscript"/>
        </w:rPr>
        <w:t>2</w:t>
      </w:r>
      <w:r>
        <w:rPr>
          <w:rFonts w:hint="eastAsia" w:ascii="仿宋" w:hAnsi="仿宋" w:eastAsia="仿宋" w:cs="仿宋"/>
          <w:sz w:val="32"/>
          <w:szCs w:val="32"/>
        </w:rPr>
        <w:t>。</w:t>
      </w:r>
    </w:p>
    <w:p>
      <w:pPr>
        <w:widowControl/>
        <w:adjustRightInd w:val="0"/>
        <w:snapToGrid w:val="0"/>
        <w:spacing w:line="360" w:lineRule="auto"/>
        <w:ind w:firstLine="636" w:firstLineChars="199"/>
        <w:rPr>
          <w:rFonts w:ascii="仿宋" w:hAnsi="仿宋" w:eastAsia="仿宋" w:cs="仿宋"/>
          <w:sz w:val="32"/>
          <w:szCs w:val="32"/>
        </w:rPr>
      </w:pPr>
      <w:r>
        <w:rPr>
          <w:rFonts w:hint="eastAsia" w:ascii="仿宋" w:hAnsi="仿宋" w:eastAsia="仿宋" w:cs="仿宋"/>
          <w:sz w:val="32"/>
          <w:szCs w:val="32"/>
        </w:rPr>
        <w:t>林场地处燕山山脉</w:t>
      </w:r>
      <w:r>
        <w:rPr>
          <w:rFonts w:hint="eastAsia" w:ascii="仿宋" w:hAnsi="仿宋" w:eastAsia="仿宋" w:cs="仿宋"/>
          <w:sz w:val="32"/>
          <w:szCs w:val="32"/>
          <w:lang w:eastAsia="zh-CN"/>
        </w:rPr>
        <w:t>末</w:t>
      </w:r>
      <w:r>
        <w:rPr>
          <w:rFonts w:hint="eastAsia" w:ascii="仿宋" w:hAnsi="仿宋" w:eastAsia="仿宋" w:cs="仿宋"/>
          <w:sz w:val="32"/>
          <w:szCs w:val="32"/>
        </w:rPr>
        <w:t>端，主山脉呈东西走向，以中低山和丘陵为主，由坡地、缓岗、冲击滩、沟谷、洼地、河滩、川地等构成复杂地形，整个地势西部较高，由西向东逐渐降低。境内群峰叠翠，沟峪纵横，最高海拔1365m，最低海拔668m，平均坡度15°。岩石以石灰岩、砂页岩为主。</w:t>
      </w:r>
    </w:p>
    <w:p>
      <w:pPr>
        <w:widowControl/>
        <w:adjustRightInd w:val="0"/>
        <w:snapToGrid w:val="0"/>
        <w:spacing w:line="360" w:lineRule="auto"/>
        <w:ind w:firstLine="636" w:firstLineChars="199"/>
        <w:rPr>
          <w:rFonts w:ascii="仿宋" w:hAnsi="仿宋" w:eastAsia="仿宋" w:cs="仿宋"/>
          <w:sz w:val="32"/>
          <w:szCs w:val="32"/>
        </w:rPr>
      </w:pPr>
      <w:bookmarkStart w:id="5" w:name="_Toc18077"/>
      <w:bookmarkStart w:id="6" w:name="_Toc6724"/>
      <w:bookmarkStart w:id="7" w:name="_Toc248589333"/>
      <w:bookmarkStart w:id="8" w:name="_Toc247620875"/>
      <w:bookmarkStart w:id="9" w:name="_Toc21418"/>
      <w:bookmarkStart w:id="10" w:name="_Toc8239"/>
      <w:bookmarkStart w:id="11" w:name="_Toc29389"/>
      <w:bookmarkStart w:id="12" w:name="_Toc247713939"/>
      <w:bookmarkStart w:id="13" w:name="_Toc247621243"/>
      <w:bookmarkStart w:id="14" w:name="_Toc248463996"/>
      <w:bookmarkStart w:id="15" w:name="_Toc247713699"/>
      <w:bookmarkStart w:id="16" w:name="_Toc378166773"/>
      <w:bookmarkStart w:id="17" w:name="_Toc247795822"/>
      <w:bookmarkStart w:id="18" w:name="_Toc7920"/>
      <w:bookmarkStart w:id="19" w:name="_Toc377635277"/>
      <w:bookmarkStart w:id="20" w:name="_Toc8686"/>
      <w:bookmarkStart w:id="21" w:name="_Toc247622515"/>
      <w:bookmarkStart w:id="22" w:name="_Toc1013"/>
      <w:bookmarkStart w:id="23" w:name="_Toc248130150"/>
      <w:bookmarkStart w:id="24" w:name="_Toc247855637"/>
      <w:bookmarkStart w:id="25" w:name="_Toc247622275"/>
      <w:r>
        <w:rPr>
          <w:rFonts w:hint="eastAsia" w:ascii="仿宋" w:hAnsi="仿宋" w:eastAsia="仿宋" w:cs="仿宋"/>
          <w:sz w:val="32"/>
          <w:szCs w:val="32"/>
        </w:rPr>
        <w:t>林区属于中温带大陆性干旱季风山地气候，四季分明。其特点是春季风大干旱，夏季炎热多雨，冬季寒冷干燥，年平均气温6.6℃，无霜期120～130天，降雨量540mm左右，其中70%集中在7、8、9三个月份，昼夜温差大，局部气候差异显著，年日照总数为2000～2900小时，日照率为65%，太阳辐射总量130～136卡/cm</w:t>
      </w:r>
      <w:r>
        <w:rPr>
          <w:rFonts w:hint="eastAsia" w:ascii="仿宋" w:hAnsi="仿宋" w:eastAsia="仿宋" w:cs="仿宋"/>
          <w:sz w:val="32"/>
          <w:szCs w:val="32"/>
          <w:vertAlign w:val="superscript"/>
        </w:rPr>
        <w:t>2</w:t>
      </w:r>
      <w:r>
        <w:rPr>
          <w:rFonts w:hint="eastAsia" w:ascii="仿宋" w:hAnsi="仿宋" w:eastAsia="仿宋" w:cs="仿宋"/>
          <w:sz w:val="32"/>
          <w:szCs w:val="32"/>
        </w:rPr>
        <w:t>，自然灾害较多，</w:t>
      </w:r>
      <w:bookmarkStart w:id="26" w:name="_Hlk42111308"/>
      <w:r>
        <w:rPr>
          <w:rFonts w:hint="eastAsia" w:ascii="仿宋" w:hAnsi="仿宋" w:eastAsia="仿宋" w:cs="仿宋"/>
          <w:sz w:val="32"/>
          <w:szCs w:val="32"/>
        </w:rPr>
        <w:t>旱、涝、风、雹、沙、霜冻六灾均有</w:t>
      </w:r>
      <w:bookmarkEnd w:id="26"/>
      <w:r>
        <w:rPr>
          <w:rFonts w:hint="eastAsia" w:ascii="仿宋" w:hAnsi="仿宋" w:eastAsia="仿宋" w:cs="仿宋"/>
          <w:sz w:val="32"/>
          <w:szCs w:val="32"/>
        </w:rPr>
        <w:t>。</w:t>
      </w:r>
    </w:p>
    <w:p>
      <w:pPr>
        <w:widowControl/>
        <w:adjustRightInd w:val="0"/>
        <w:snapToGrid w:val="0"/>
        <w:spacing w:line="360" w:lineRule="auto"/>
        <w:ind w:firstLine="636" w:firstLineChars="199"/>
        <w:rPr>
          <w:rFonts w:ascii="仿宋" w:hAnsi="仿宋" w:eastAsia="仿宋" w:cs="仿宋"/>
          <w:sz w:val="32"/>
          <w:szCs w:val="32"/>
        </w:rPr>
      </w:pPr>
      <w:r>
        <w:rPr>
          <w:rFonts w:hint="eastAsia" w:ascii="仿宋" w:hAnsi="仿宋" w:eastAsia="仿宋" w:cs="仿宋"/>
          <w:sz w:val="32"/>
          <w:szCs w:val="32"/>
        </w:rPr>
        <w:t>林区内有老哈河发源地，即辽河的西源头，境内长75km，流域914.3 km</w:t>
      </w:r>
      <w:r>
        <w:rPr>
          <w:rFonts w:hint="eastAsia" w:ascii="仿宋" w:hAnsi="仿宋" w:eastAsia="仿宋" w:cs="仿宋"/>
          <w:sz w:val="32"/>
          <w:szCs w:val="32"/>
          <w:vertAlign w:val="superscript"/>
        </w:rPr>
        <w:t>2</w:t>
      </w:r>
      <w:r>
        <w:rPr>
          <w:rFonts w:hint="eastAsia" w:ascii="仿宋" w:hAnsi="仿宋" w:eastAsia="仿宋" w:cs="仿宋"/>
          <w:sz w:val="32"/>
          <w:szCs w:val="32"/>
        </w:rPr>
        <w:t>， 200 km</w:t>
      </w:r>
      <w:r>
        <w:rPr>
          <w:rFonts w:hint="eastAsia" w:ascii="仿宋" w:hAnsi="仿宋" w:eastAsia="仿宋" w:cs="仿宋"/>
          <w:sz w:val="32"/>
          <w:szCs w:val="32"/>
          <w:vertAlign w:val="superscript"/>
        </w:rPr>
        <w:t>2</w:t>
      </w:r>
      <w:r>
        <w:rPr>
          <w:rFonts w:hint="eastAsia" w:ascii="仿宋" w:hAnsi="仿宋" w:eastAsia="仿宋" w:cs="仿宋"/>
          <w:sz w:val="32"/>
          <w:szCs w:val="32"/>
        </w:rPr>
        <w:t>以上支流4条，分布于茅兰沟川，平房川，龙潭沟川，蒙和乌苏川。流域地表水资源主要来自大气降水，各河均属辽河水系源头，无入境客水。林区森林资源丰富，覆盖率较高，涵养水源的能力强，在维护区域水资源安全与生态安全中发挥着重要作用。</w:t>
      </w:r>
    </w:p>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p>
      <w:pPr>
        <w:widowControl/>
        <w:adjustRightInd w:val="0"/>
        <w:snapToGrid w:val="0"/>
        <w:spacing w:line="360" w:lineRule="auto"/>
        <w:ind w:firstLine="636" w:firstLineChars="199"/>
        <w:rPr>
          <w:rFonts w:ascii="仿宋" w:hAnsi="仿宋" w:eastAsia="仿宋" w:cs="仿宋"/>
          <w:sz w:val="32"/>
          <w:szCs w:val="32"/>
        </w:rPr>
      </w:pPr>
      <w:r>
        <w:rPr>
          <w:rFonts w:hint="eastAsia" w:ascii="仿宋" w:hAnsi="仿宋" w:eastAsia="仿宋" w:cs="仿宋"/>
          <w:sz w:val="32"/>
          <w:szCs w:val="32"/>
        </w:rPr>
        <w:t>林区土壤分布共有四种类型，草甸土、棕壤土、草甸褐土、褐土，其中棕壤土占65%，褐土占30%，其它占5%。土壤pH值6.5～7.5，土壤有机质含量为1.0％左右，属中等生产力水平。</w:t>
      </w:r>
    </w:p>
    <w:p>
      <w:pPr>
        <w:widowControl/>
        <w:adjustRightInd w:val="0"/>
        <w:snapToGrid w:val="0"/>
        <w:spacing w:line="360" w:lineRule="auto"/>
        <w:ind w:firstLine="636" w:firstLineChars="199"/>
        <w:rPr>
          <w:rFonts w:ascii="仿宋" w:hAnsi="仿宋" w:eastAsia="仿宋" w:cs="仿宋"/>
          <w:sz w:val="32"/>
          <w:szCs w:val="32"/>
        </w:rPr>
      </w:pPr>
      <w:bookmarkStart w:id="27" w:name="_Hlk42086592"/>
      <w:r>
        <w:rPr>
          <w:rFonts w:hint="eastAsia" w:ascii="仿宋" w:hAnsi="仿宋" w:eastAsia="仿宋" w:cs="仿宋"/>
          <w:sz w:val="32"/>
          <w:szCs w:val="32"/>
        </w:rPr>
        <w:t>林区立地条件差异大，形成了针叶林、阔叶林、灌丛、灌草、草丛、草甸、沼生植被等复杂多样的植被类型。针叶林主要有油松林、华北落叶松林，以及少量侧柏林；阔叶林主要有刺槐林、山杏林、山杨林等；灌丛主要有胡枝子灌丛、榛子灌丛、照山白灌丛等；灌草主要是荆条—酸枣—黄背草灌草丛；草丛主要是黄背草草丛；草甸主要包括地榆—蓝花棘豆杂草草甸、小红菊—委陵菜杂草草甸等；沼生植被有藨草沼泽、薹草沼泽。</w:t>
      </w:r>
    </w:p>
    <w:p>
      <w:pPr>
        <w:pStyle w:val="5"/>
      </w:pPr>
      <w:bookmarkStart w:id="28" w:name="_Toc6788"/>
      <w:r>
        <w:rPr>
          <w:rFonts w:hint="eastAsia"/>
        </w:rPr>
        <w:t>1.2社会经济状况</w:t>
      </w:r>
      <w:bookmarkEnd w:id="28"/>
    </w:p>
    <w:p>
      <w:pPr>
        <w:pStyle w:val="2"/>
        <w:ind w:firstLine="640" w:firstLineChars="200"/>
      </w:pPr>
      <w:r>
        <w:rPr>
          <w:rFonts w:hint="eastAsia" w:ascii="仿宋" w:hAnsi="仿宋" w:eastAsia="仿宋" w:cs="仿宋"/>
          <w:szCs w:val="32"/>
        </w:rPr>
        <w:t>截止2021年底，林场范围内所辖5个乡镇，总人口为81391人，其中农业人口71683人，占总人口的88.1%。少数民族人口为22211人，占总人口的27.3%。林区居民人均可支配收入8200元，农户均收入达2.7万元，年实现农林牧渔业总产值96029万元，农村居民人均纯收入为13000元。其中林业产值3334万元，占总产值的3.4%。</w:t>
      </w:r>
    </w:p>
    <w:bookmarkEnd w:id="27"/>
    <w:p>
      <w:pPr>
        <w:pStyle w:val="5"/>
        <w:spacing w:line="500" w:lineRule="exact"/>
        <w:rPr>
          <w:rFonts w:ascii="仿宋_GB2312" w:eastAsia="仿宋_GB2312"/>
        </w:rPr>
      </w:pPr>
      <w:bookmarkStart w:id="29" w:name="_Toc5627"/>
      <w:bookmarkStart w:id="30" w:name="_Toc91348125"/>
      <w:bookmarkStart w:id="31" w:name="_Toc91346382"/>
      <w:r>
        <w:rPr>
          <w:rFonts w:hint="eastAsia"/>
        </w:rPr>
        <w:t>1.3建设单位基本情况</w:t>
      </w:r>
      <w:bookmarkEnd w:id="29"/>
    </w:p>
    <w:p>
      <w:pPr>
        <w:pStyle w:val="17"/>
        <w:adjustRightInd w:val="0"/>
        <w:snapToGrid w:val="0"/>
        <w:spacing w:line="360" w:lineRule="auto"/>
        <w:ind w:firstLine="640"/>
        <w:rPr>
          <w:rFonts w:cs="仿宋"/>
          <w:color w:val="000000"/>
          <w:sz w:val="32"/>
          <w:szCs w:val="32"/>
        </w:rPr>
      </w:pPr>
      <w:r>
        <w:rPr>
          <w:rFonts w:hint="eastAsia" w:cs="仿宋"/>
          <w:color w:val="000000"/>
          <w:sz w:val="32"/>
          <w:szCs w:val="32"/>
        </w:rPr>
        <w:t>平泉市国有黄土梁子林场始建于1954年10月，为全额事业单位。林场主要职责是造林、营林、护林、培育苗木等。场部设在黄土梁子镇黄土梁子社区，林场设立办公室、财务科、经营科、护林大队四个科室，并分别在林场辖区范围内五个乡镇设有小庙、南梁、茅兰沟、平房、油坊营子5个管护站。建有国家刺槐良种基地一处。林场级别为副科级，核定事业编制80人。</w:t>
      </w:r>
      <w:r>
        <w:rPr>
          <w:rFonts w:hint="default" w:cs="仿宋"/>
          <w:color w:val="000000"/>
          <w:sz w:val="32"/>
          <w:szCs w:val="32"/>
          <w:lang w:val="en"/>
        </w:rPr>
        <w:t>截至目前</w:t>
      </w:r>
      <w:r>
        <w:rPr>
          <w:rFonts w:hint="eastAsia" w:cs="仿宋"/>
          <w:color w:val="000000"/>
          <w:sz w:val="32"/>
          <w:szCs w:val="32"/>
          <w:lang w:val="en-AU"/>
        </w:rPr>
        <w:t>，林场现有职工</w:t>
      </w:r>
      <w:r>
        <w:rPr>
          <w:rFonts w:hint="eastAsia" w:cs="仿宋"/>
          <w:color w:val="000000"/>
          <w:sz w:val="32"/>
          <w:szCs w:val="32"/>
        </w:rPr>
        <w:t>157</w:t>
      </w:r>
      <w:r>
        <w:rPr>
          <w:rFonts w:hint="eastAsia" w:cs="仿宋"/>
          <w:color w:val="000000"/>
          <w:sz w:val="32"/>
          <w:szCs w:val="32"/>
          <w:lang w:val="en-AU"/>
        </w:rPr>
        <w:t>人，其中退休职工</w:t>
      </w:r>
      <w:r>
        <w:rPr>
          <w:rFonts w:hint="eastAsia" w:cs="仿宋"/>
          <w:color w:val="000000"/>
          <w:sz w:val="32"/>
          <w:szCs w:val="32"/>
        </w:rPr>
        <w:t>72</w:t>
      </w:r>
      <w:r>
        <w:rPr>
          <w:rFonts w:hint="eastAsia" w:cs="仿宋"/>
          <w:color w:val="000000"/>
          <w:sz w:val="32"/>
          <w:szCs w:val="32"/>
          <w:lang w:val="en-AU"/>
        </w:rPr>
        <w:t>人,在职职工</w:t>
      </w:r>
      <w:r>
        <w:rPr>
          <w:rFonts w:hint="eastAsia" w:cs="仿宋"/>
          <w:color w:val="000000"/>
          <w:sz w:val="32"/>
          <w:szCs w:val="32"/>
        </w:rPr>
        <w:t>85</w:t>
      </w:r>
      <w:r>
        <w:rPr>
          <w:rFonts w:hint="eastAsia" w:cs="仿宋"/>
          <w:color w:val="000000"/>
          <w:sz w:val="32"/>
          <w:szCs w:val="32"/>
          <w:lang w:val="en-AU"/>
        </w:rPr>
        <w:t>人。在职职工</w:t>
      </w:r>
      <w:r>
        <w:rPr>
          <w:rFonts w:hint="eastAsia" w:cs="仿宋"/>
          <w:color w:val="000000"/>
          <w:sz w:val="32"/>
          <w:szCs w:val="32"/>
        </w:rPr>
        <w:t>中女职工23人，男职工62人。在职职工中从事专业技术人员21人，其中正高级工程师4人，高级工程师9人，工程师7人，助理工程师1人；森林管护工人中：技师13人，高级工41人，中级工8人，初级工2人。在职职工中本科以上20人，大专8人，高中及中专25人，初中及以下32人。</w:t>
      </w:r>
    </w:p>
    <w:p>
      <w:pPr>
        <w:pStyle w:val="5"/>
        <w:spacing w:line="500" w:lineRule="exact"/>
        <w:rPr>
          <w:rFonts w:ascii="仿宋_GB2312" w:eastAsia="仿宋_GB2312"/>
        </w:rPr>
      </w:pPr>
      <w:bookmarkStart w:id="32" w:name="_Toc30860"/>
      <w:r>
        <w:rPr>
          <w:rFonts w:hint="eastAsia"/>
        </w:rPr>
        <w:t>1.</w:t>
      </w:r>
      <w:bookmarkEnd w:id="30"/>
      <w:bookmarkEnd w:id="31"/>
      <w:r>
        <w:rPr>
          <w:rFonts w:hint="eastAsia"/>
        </w:rPr>
        <w:t>4森林资源状况</w:t>
      </w:r>
      <w:bookmarkEnd w:id="32"/>
    </w:p>
    <w:p>
      <w:pPr>
        <w:spacing w:line="360" w:lineRule="auto"/>
        <w:ind w:firstLine="640" w:firstLineChars="200"/>
        <w:rPr>
          <w:rFonts w:ascii="仿宋" w:hAnsi="仿宋" w:eastAsia="仿宋" w:cs="仿宋"/>
          <w:color w:val="000000"/>
          <w:sz w:val="32"/>
          <w:szCs w:val="32"/>
        </w:rPr>
      </w:pPr>
      <w:r>
        <w:rPr>
          <w:rFonts w:hint="eastAsia" w:ascii="仿宋" w:hAnsi="仿宋" w:eastAsia="仿宋" w:cs="仿宋"/>
          <w:color w:val="000000"/>
          <w:sz w:val="32"/>
          <w:szCs w:val="32"/>
        </w:rPr>
        <w:t>林场总经营面积21.61万亩，森林覆盖率86.4%，林分总蓄积量65万立方米。林场经营的林分共有9类一级景观类型，分别为森林、灌木林、疏林、宜林地、未成林、苗圃、草地（荒地）、农田和工矿地，由990个斑块构成。有林地面积18.68万亩，占总经营面积的86.4%，其中纯林占94.88%，混交林占5.12%；灌木林地面积1.22万亩，占总经营面积的5.71%；疏林地面积0.32万亩，占总经营面积的1.47%；未成林造林地面积0.09万亩，占总经营面积的0.39%；苗圃地面积0.01万亩，占总经营面积的0.08%；耕地面积0.09万亩，占总经营面积的0.43%；无立木林地面积0.57万亩，占总经营面积的2.65%；宜林地面积0.1万亩，占总经营面积的0.49%；工矿地面积0.32万亩，占总经营面积的1.48%。林场经营的林分中国家重点公益林14.69万亩，占总经营面积的68.64%；天保林5.89万亩，占总经营面积的27.52%，商品林0.3万亩，占总经营面积的1.4%。</w:t>
      </w:r>
    </w:p>
    <w:p>
      <w:pPr>
        <w:pStyle w:val="4"/>
        <w:rPr>
          <w:rFonts w:ascii="仿宋" w:hAnsi="仿宋" w:eastAsia="仿宋" w:cs="仿宋"/>
          <w:szCs w:val="32"/>
        </w:rPr>
      </w:pPr>
      <w:bookmarkStart w:id="33" w:name="_Toc19432"/>
      <w:r>
        <w:rPr>
          <w:rFonts w:hint="eastAsia"/>
        </w:rPr>
        <w:t>第二章 项目概况</w:t>
      </w:r>
      <w:bookmarkEnd w:id="33"/>
      <w:r>
        <w:rPr>
          <w:rFonts w:hint="eastAsia"/>
        </w:rPr>
        <w:t xml:space="preserve">  </w:t>
      </w:r>
      <w:r>
        <w:rPr>
          <w:rFonts w:hint="eastAsia" w:ascii="仿宋" w:hAnsi="仿宋" w:eastAsia="仿宋" w:cs="仿宋"/>
          <w:szCs w:val="32"/>
        </w:rPr>
        <w:t xml:space="preserve">  </w:t>
      </w:r>
    </w:p>
    <w:p>
      <w:pPr>
        <w:pStyle w:val="5"/>
        <w:spacing w:line="500" w:lineRule="exact"/>
        <w:rPr>
          <w:rFonts w:ascii="仿宋_GB2312" w:eastAsia="仿宋_GB2312"/>
        </w:rPr>
      </w:pPr>
      <w:bookmarkStart w:id="34" w:name="_Toc497746084"/>
      <w:bookmarkStart w:id="35" w:name="_Toc91346385"/>
      <w:bookmarkStart w:id="36" w:name="_Toc13016"/>
      <w:bookmarkStart w:id="37" w:name="_Toc501"/>
      <w:bookmarkStart w:id="38" w:name="_Toc91348128"/>
      <w:r>
        <w:rPr>
          <w:rFonts w:hint="eastAsia"/>
        </w:rPr>
        <w:t>2.1项目名称</w:t>
      </w:r>
      <w:bookmarkEnd w:id="34"/>
      <w:bookmarkEnd w:id="35"/>
      <w:bookmarkEnd w:id="36"/>
      <w:bookmarkEnd w:id="37"/>
      <w:bookmarkEnd w:id="38"/>
    </w:p>
    <w:p>
      <w:pPr>
        <w:ind w:left="1598" w:leftChars="304" w:hanging="960" w:hangingChars="300"/>
        <w:rPr>
          <w:rFonts w:ascii="仿宋" w:hAnsi="仿宋" w:eastAsia="仿宋" w:cs="仿宋"/>
          <w:sz w:val="32"/>
          <w:szCs w:val="32"/>
        </w:rPr>
      </w:pPr>
      <w:r>
        <w:rPr>
          <w:rFonts w:hint="eastAsia" w:ascii="仿宋" w:hAnsi="仿宋" w:eastAsia="仿宋" w:cs="仿宋"/>
          <w:sz w:val="32"/>
          <w:szCs w:val="32"/>
        </w:rPr>
        <w:t>2023年度欠发达国有林场林下经济产业建设项目</w:t>
      </w:r>
    </w:p>
    <w:p>
      <w:pPr>
        <w:pStyle w:val="5"/>
        <w:spacing w:line="500" w:lineRule="exact"/>
        <w:rPr>
          <w:rFonts w:ascii="仿宋_GB2312" w:eastAsia="仿宋_GB2312"/>
        </w:rPr>
      </w:pPr>
      <w:bookmarkStart w:id="39" w:name="_Toc9325"/>
      <w:r>
        <w:rPr>
          <w:rFonts w:hint="eastAsia"/>
        </w:rPr>
        <w:t>2.2项目建设单位</w:t>
      </w:r>
      <w:bookmarkEnd w:id="39"/>
    </w:p>
    <w:p>
      <w:pPr>
        <w:spacing w:line="500" w:lineRule="exact"/>
        <w:ind w:firstLine="596" w:firstLineChars="200"/>
        <w:rPr>
          <w:rFonts w:ascii="仿宋_GB2312" w:eastAsia="仿宋_GB2312"/>
          <w:spacing w:val="-11"/>
          <w:sz w:val="32"/>
          <w:szCs w:val="32"/>
        </w:rPr>
      </w:pPr>
      <w:r>
        <w:rPr>
          <w:rFonts w:hint="eastAsia" w:ascii="仿宋_GB2312" w:eastAsia="仿宋_GB2312"/>
          <w:spacing w:val="-11"/>
          <w:sz w:val="32"/>
          <w:szCs w:val="32"/>
        </w:rPr>
        <w:t>项目建设单位为平泉市国有黄土梁子林场，法定代表人徐兰丽。</w:t>
      </w:r>
    </w:p>
    <w:p>
      <w:pPr>
        <w:pStyle w:val="5"/>
        <w:spacing w:line="500" w:lineRule="exact"/>
        <w:rPr>
          <w:rFonts w:ascii="仿宋_GB2312" w:eastAsia="仿宋_GB2312"/>
        </w:rPr>
      </w:pPr>
      <w:bookmarkStart w:id="40" w:name="_Toc91346388"/>
      <w:bookmarkStart w:id="41" w:name="_Toc91348131"/>
      <w:bookmarkStart w:id="42" w:name="_Toc24948"/>
      <w:bookmarkStart w:id="43" w:name="_Toc16431"/>
      <w:r>
        <w:rPr>
          <w:rFonts w:hint="eastAsia"/>
        </w:rPr>
        <w:t>2.3项目建设地点</w:t>
      </w:r>
      <w:bookmarkEnd w:id="40"/>
      <w:bookmarkEnd w:id="41"/>
      <w:bookmarkEnd w:id="42"/>
      <w:bookmarkEnd w:id="43"/>
    </w:p>
    <w:p>
      <w:pPr>
        <w:spacing w:line="640" w:lineRule="exact"/>
        <w:ind w:firstLine="572" w:firstLineChars="200"/>
        <w:rPr>
          <w:rFonts w:ascii="仿宋_GB2312" w:eastAsia="仿宋_GB2312"/>
          <w:spacing w:val="-17"/>
          <w:sz w:val="32"/>
          <w:szCs w:val="32"/>
        </w:rPr>
      </w:pPr>
      <w:r>
        <w:rPr>
          <w:rFonts w:hint="eastAsia" w:ascii="仿宋_GB2312" w:eastAsia="仿宋_GB2312"/>
          <w:spacing w:val="-17"/>
          <w:sz w:val="32"/>
          <w:szCs w:val="32"/>
        </w:rPr>
        <w:t>1）平泉市黄土梁子镇龙潭社区国家刺槐良种基地内</w:t>
      </w:r>
    </w:p>
    <w:p>
      <w:pPr>
        <w:spacing w:line="640" w:lineRule="exact"/>
        <w:ind w:firstLine="596" w:firstLineChars="200"/>
        <w:rPr>
          <w:rFonts w:ascii="仿宋_GB2312" w:eastAsia="仿宋_GB2312"/>
          <w:spacing w:val="-11"/>
          <w:sz w:val="32"/>
          <w:szCs w:val="32"/>
        </w:rPr>
      </w:pPr>
      <w:r>
        <w:rPr>
          <w:rFonts w:hint="eastAsia" w:ascii="仿宋_GB2312" w:eastAsia="仿宋_GB2312"/>
          <w:spacing w:val="-11"/>
          <w:sz w:val="32"/>
          <w:szCs w:val="32"/>
        </w:rPr>
        <w:t>2）平泉市</w:t>
      </w:r>
      <w:r>
        <w:rPr>
          <w:rFonts w:hint="eastAsia" w:ascii="仿宋_GB2312" w:eastAsia="仿宋_GB2312"/>
          <w:spacing w:val="-17"/>
          <w:sz w:val="32"/>
          <w:szCs w:val="32"/>
        </w:rPr>
        <w:t>国家刺槐良种基地附近</w:t>
      </w:r>
      <w:r>
        <w:rPr>
          <w:rFonts w:hint="eastAsia" w:ascii="仿宋_GB2312" w:eastAsia="仿宋_GB2312"/>
          <w:spacing w:val="-11"/>
          <w:sz w:val="32"/>
          <w:szCs w:val="32"/>
        </w:rPr>
        <w:t>南梁社区南梁村</w:t>
      </w:r>
    </w:p>
    <w:p>
      <w:pPr>
        <w:pStyle w:val="5"/>
        <w:spacing w:line="500" w:lineRule="exact"/>
      </w:pPr>
      <w:bookmarkStart w:id="44" w:name="_Toc12375"/>
      <w:r>
        <w:rPr>
          <w:rFonts w:hint="eastAsia"/>
        </w:rPr>
        <w:t>2.4项目性质</w:t>
      </w:r>
      <w:bookmarkEnd w:id="44"/>
    </w:p>
    <w:p>
      <w:pPr>
        <w:pStyle w:val="3"/>
        <w:ind w:firstLine="640" w:firstLineChars="200"/>
      </w:pPr>
      <w:bookmarkStart w:id="45" w:name="_Toc25601"/>
      <w:r>
        <w:rPr>
          <w:rFonts w:hint="eastAsia"/>
        </w:rPr>
        <w:t>新建</w:t>
      </w:r>
      <w:bookmarkEnd w:id="45"/>
    </w:p>
    <w:p>
      <w:pPr>
        <w:pStyle w:val="5"/>
        <w:spacing w:line="500" w:lineRule="exact"/>
      </w:pPr>
      <w:bookmarkStart w:id="46" w:name="_Toc5827"/>
      <w:r>
        <w:rPr>
          <w:rFonts w:hint="eastAsia"/>
        </w:rPr>
        <w:t>2.5建设期限</w:t>
      </w:r>
      <w:bookmarkEnd w:id="46"/>
    </w:p>
    <w:p>
      <w:pPr>
        <w:pStyle w:val="3"/>
        <w:ind w:firstLine="640" w:firstLineChars="200"/>
        <w:rPr>
          <w:rFonts w:ascii="仿宋" w:hAnsi="仿宋" w:eastAsia="仿宋" w:cs="仿宋"/>
          <w:szCs w:val="32"/>
        </w:rPr>
      </w:pPr>
      <w:bookmarkStart w:id="47" w:name="_Toc8159"/>
      <w:r>
        <w:rPr>
          <w:rFonts w:hint="eastAsia" w:ascii="仿宋" w:hAnsi="仿宋" w:eastAsia="仿宋" w:cs="仿宋"/>
          <w:szCs w:val="32"/>
        </w:rPr>
        <w:t>1年，2023年1月至2023年12月。</w:t>
      </w:r>
      <w:bookmarkEnd w:id="47"/>
    </w:p>
    <w:p>
      <w:pPr>
        <w:pStyle w:val="5"/>
        <w:spacing w:line="500" w:lineRule="exact"/>
        <w:rPr>
          <w:rFonts w:ascii="仿宋_GB2312" w:eastAsia="仿宋_GB2312"/>
        </w:rPr>
      </w:pPr>
      <w:bookmarkStart w:id="48" w:name="_Toc31556"/>
      <w:r>
        <w:rPr>
          <w:rFonts w:hint="eastAsia"/>
        </w:rPr>
        <w:t>2.6项目建设内容和规模</w:t>
      </w:r>
      <w:bookmarkEnd w:id="48"/>
    </w:p>
    <w:p>
      <w:pPr>
        <w:pStyle w:val="2"/>
        <w:ind w:firstLine="640" w:firstLineChars="200"/>
      </w:pPr>
      <w:r>
        <w:rPr>
          <w:rFonts w:hint="eastAsia"/>
        </w:rPr>
        <w:t>利用国家刺槐良种基地种子园中的子代测定林、收集圃、采穗圃林下地，种植苍术中药材5</w:t>
      </w:r>
      <w:r>
        <w:rPr>
          <w:rFonts w:hint="eastAsia" w:ascii="仿宋_GB2312" w:cs="仿宋"/>
          <w:kern w:val="0"/>
          <w:szCs w:val="32"/>
        </w:rPr>
        <w:t>00亩；配套建设基础设施</w:t>
      </w:r>
      <w:r>
        <w:rPr>
          <w:rFonts w:hint="eastAsia"/>
        </w:rPr>
        <w:t>，架设高压输电线路2.5km、低压输电线路1.0km，安装变压器1台；在刺槐良种基地附近南梁社区改建林下种植药材生产管护用房1处，建设面积150平方米，配备基础设施1套。</w:t>
      </w:r>
    </w:p>
    <w:p>
      <w:pPr>
        <w:pStyle w:val="5"/>
        <w:spacing w:line="500" w:lineRule="exact"/>
        <w:rPr>
          <w:rFonts w:ascii="仿宋_GB2312" w:eastAsia="仿宋_GB2312"/>
        </w:rPr>
      </w:pPr>
      <w:bookmarkStart w:id="49" w:name="_Toc4392"/>
      <w:r>
        <w:rPr>
          <w:rFonts w:hint="eastAsia"/>
        </w:rPr>
        <w:t>2.7项目建设的必要性和可行性</w:t>
      </w:r>
      <w:bookmarkEnd w:id="49"/>
    </w:p>
    <w:p>
      <w:pPr>
        <w:jc w:val="left"/>
        <w:rPr>
          <w:rFonts w:ascii="宋体" w:hAnsi="Courier New" w:eastAsia="仿宋_GB2312" w:cs="Courier New"/>
          <w:b/>
          <w:bCs/>
          <w:sz w:val="32"/>
          <w:szCs w:val="21"/>
        </w:rPr>
      </w:pPr>
      <w:r>
        <w:rPr>
          <w:rFonts w:hint="eastAsia" w:ascii="宋体" w:hAnsi="Courier New" w:eastAsia="仿宋_GB2312" w:cs="Courier New"/>
          <w:b/>
          <w:bCs/>
          <w:sz w:val="32"/>
          <w:szCs w:val="21"/>
        </w:rPr>
        <w:t>2.7.1项目建设的必要性</w:t>
      </w:r>
    </w:p>
    <w:p>
      <w:pPr>
        <w:ind w:firstLine="642" w:firstLineChars="200"/>
        <w:rPr>
          <w:rFonts w:ascii="宋体" w:hAnsi="Courier New" w:eastAsia="仿宋_GB2312" w:cs="Courier New"/>
          <w:sz w:val="32"/>
          <w:szCs w:val="21"/>
        </w:rPr>
      </w:pPr>
      <w:r>
        <w:rPr>
          <w:rFonts w:hint="eastAsia" w:ascii="宋体" w:hAnsi="Courier New" w:eastAsia="仿宋_GB2312" w:cs="Courier New"/>
          <w:b/>
          <w:bCs/>
          <w:sz w:val="32"/>
          <w:szCs w:val="21"/>
        </w:rPr>
        <w:t>（1）发展林下经济是促进林业生态建设及产业发展的需要。</w:t>
      </w:r>
      <w:r>
        <w:rPr>
          <w:rFonts w:hint="eastAsia" w:ascii="宋体" w:hAnsi="Courier New" w:eastAsia="仿宋_GB2312" w:cs="Courier New"/>
          <w:sz w:val="32"/>
          <w:szCs w:val="21"/>
        </w:rPr>
        <w:t>以林地资源和生态环境为依托，发展林下种植业，探索“林上+林下”立体复合生产森林经营模式，林下种植中药材，通过资源保护、质量安全、市场体系、科技研发等支撑体系的加强与完善，促进优化产业布局，把林下苍术种植药材作为提高平泉市特色产业经济效益的一个突破口，提高林地利用率，使中药材产业扩充规模，有力推进生态林业产业的快速发展，形成具有区域特色的产业和主要的脱贫攻坚产业。</w:t>
      </w:r>
    </w:p>
    <w:p>
      <w:pPr>
        <w:ind w:firstLine="642" w:firstLineChars="200"/>
        <w:rPr>
          <w:rFonts w:ascii="宋体" w:hAnsi="Courier New" w:eastAsia="仿宋_GB2312" w:cs="Courier New"/>
          <w:sz w:val="32"/>
          <w:szCs w:val="21"/>
        </w:rPr>
      </w:pPr>
      <w:r>
        <w:rPr>
          <w:rFonts w:hint="eastAsia" w:ascii="宋体" w:hAnsi="Courier New" w:eastAsia="仿宋_GB2312" w:cs="Courier New"/>
          <w:b/>
          <w:bCs/>
          <w:sz w:val="32"/>
          <w:szCs w:val="21"/>
        </w:rPr>
        <w:t>（2）巩固国有林场改革成果的需要。</w:t>
      </w:r>
      <w:r>
        <w:rPr>
          <w:rFonts w:hint="eastAsia" w:ascii="宋体" w:hAnsi="Courier New" w:eastAsia="仿宋_GB2312" w:cs="Courier New"/>
          <w:sz w:val="32"/>
          <w:szCs w:val="21"/>
        </w:rPr>
        <w:t>发展林下经济是巩固国有林场改革成果，促进绿色增长的迫切需要，是提高林地产出，增加林场收入有效途径，真正将“绿水青山”转化为“金山银山”。本项目利用国家刺槐良种基地林下资源建设中药材种植示范基地，积极发展林下经济，对增加林业附加值，促进林业可持续发展，发展循环经济，巩固生态成果都具有重要意义。</w:t>
      </w:r>
    </w:p>
    <w:p>
      <w:pPr>
        <w:ind w:firstLine="642" w:firstLineChars="200"/>
        <w:rPr>
          <w:rFonts w:ascii="宋体" w:hAnsi="Courier New" w:eastAsia="仿宋_GB2312" w:cs="Courier New"/>
          <w:sz w:val="32"/>
          <w:szCs w:val="21"/>
        </w:rPr>
      </w:pPr>
      <w:r>
        <w:rPr>
          <w:rFonts w:hint="eastAsia" w:ascii="宋体" w:hAnsi="Courier New" w:eastAsia="仿宋_GB2312" w:cs="Courier New"/>
          <w:b/>
          <w:bCs/>
          <w:sz w:val="32"/>
          <w:szCs w:val="21"/>
        </w:rPr>
        <w:t>（3）带动示范，增加当地就业。</w:t>
      </w:r>
      <w:r>
        <w:rPr>
          <w:rFonts w:hint="eastAsia" w:ascii="宋体" w:hAnsi="Courier New" w:eastAsia="仿宋_GB2312" w:cs="Courier New"/>
          <w:sz w:val="32"/>
          <w:szCs w:val="21"/>
        </w:rPr>
        <w:t>林下发展经济种植中药材，建设样板示范基地，带动周边地区林农，进行林业产业转化，提高林业产业经济效益。另外，本项目建设过程中，可解决当地农民就业机会，促进当地经济协调发展，增加林农收入，对提高林农生活水平有着非常重要的意义。</w:t>
      </w:r>
    </w:p>
    <w:p>
      <w:pPr>
        <w:ind w:firstLine="642" w:firstLineChars="200"/>
        <w:rPr>
          <w:rFonts w:ascii="宋体" w:hAnsi="Courier New" w:eastAsia="仿宋_GB2312" w:cs="Courier New"/>
          <w:sz w:val="32"/>
          <w:szCs w:val="21"/>
        </w:rPr>
      </w:pPr>
      <w:r>
        <w:rPr>
          <w:rFonts w:hint="eastAsia" w:ascii="宋体" w:hAnsi="Courier New" w:eastAsia="仿宋_GB2312" w:cs="Courier New"/>
          <w:b/>
          <w:bCs/>
          <w:sz w:val="32"/>
          <w:szCs w:val="21"/>
        </w:rPr>
        <w:t>（4）巩固提升欠发达林场的发展。</w:t>
      </w:r>
      <w:r>
        <w:rPr>
          <w:rFonts w:hint="eastAsia" w:ascii="宋体" w:hAnsi="Courier New" w:eastAsia="仿宋_GB2312" w:cs="Courier New"/>
          <w:sz w:val="32"/>
          <w:szCs w:val="21"/>
        </w:rPr>
        <w:t>国有林场职能由提供木材为主向生态保护为主转变后，林场收入大量减少，资金匮乏，缺少生产经营经费，森林培育和保护工作急需资金支撑。尤其在探索林业产业方面，巩固提升欠发达林场的可持续发展有着重要意义。</w:t>
      </w:r>
    </w:p>
    <w:p>
      <w:pPr>
        <w:jc w:val="left"/>
        <w:rPr>
          <w:rFonts w:ascii="宋体" w:hAnsi="Courier New" w:eastAsia="仿宋_GB2312" w:cs="Courier New"/>
          <w:b/>
          <w:bCs/>
          <w:sz w:val="32"/>
          <w:szCs w:val="21"/>
        </w:rPr>
      </w:pPr>
      <w:r>
        <w:rPr>
          <w:rFonts w:hint="eastAsia" w:ascii="宋体" w:hAnsi="Courier New" w:eastAsia="仿宋_GB2312" w:cs="Courier New"/>
          <w:b/>
          <w:bCs/>
          <w:sz w:val="32"/>
          <w:szCs w:val="21"/>
        </w:rPr>
        <w:t>2.7.2项目建设的可行性</w:t>
      </w:r>
    </w:p>
    <w:p>
      <w:pPr>
        <w:ind w:firstLine="642" w:firstLineChars="200"/>
        <w:rPr>
          <w:rFonts w:ascii="仿宋_GB2312" w:eastAsia="仿宋_GB2312"/>
          <w:sz w:val="32"/>
          <w:szCs w:val="32"/>
        </w:rPr>
      </w:pPr>
      <w:r>
        <w:rPr>
          <w:rFonts w:hint="eastAsia" w:ascii="仿宋_GB2312" w:eastAsia="仿宋_GB2312"/>
          <w:b/>
          <w:bCs/>
          <w:sz w:val="32"/>
          <w:szCs w:val="32"/>
        </w:rPr>
        <w:t>（1）政策可行。</w:t>
      </w:r>
      <w:r>
        <w:rPr>
          <w:rFonts w:hint="eastAsia" w:ascii="仿宋_GB2312" w:eastAsia="仿宋_GB2312"/>
          <w:sz w:val="32"/>
          <w:szCs w:val="32"/>
        </w:rPr>
        <w:t>国家发展改革委等十部委联合印发的《关于科学利用林地资源促进木本粮油和林下经济高质量发展的意见》（发改农经〔2020〕1753号），以及河北省发展和改革委员会等十部门关于印发《河北省关于科学利用林地资源促进木本粮油和林下经济高质量发展的实施意见》（冀发改农经〔2021〕431号）的要求，</w:t>
      </w:r>
      <w:r>
        <w:rPr>
          <w:rFonts w:ascii="仿宋_GB2312" w:eastAsia="仿宋_GB2312"/>
          <w:sz w:val="32"/>
          <w:szCs w:val="32"/>
        </w:rPr>
        <w:t>到2025年，促进木本粮油和林下经济产业发展的资源管理制度体系基本建立，有关标准体系基本涵盖主要产品类别，木本粮油和林下经济的产业布局和品种结构进一步完善，产业规模化、特色化水平全面提升，木本粮油经济林新增或改造100万亩，总面积稳定在1700万亩左右，产量达到100万吨，林下经济经营面积达到700万亩，产值达到50亿元。到2030年，形成全省木本粮油和林下经济产业发展的良好格局，木本粮油和林下经济产品生产、流通、加工体系更加健全，产品供给能力、质量安全水平、市场竞争能力全面提升，机械化智能化水平大幅提高，特色产品竞争力、知名度、美誉度得到国内外市场充分认可。</w:t>
      </w:r>
    </w:p>
    <w:p>
      <w:pPr>
        <w:ind w:firstLine="640" w:firstLineChars="200"/>
        <w:rPr>
          <w:rFonts w:ascii="宋体" w:hAnsi="Courier New" w:eastAsia="仿宋_GB2312" w:cs="Courier New"/>
          <w:sz w:val="32"/>
          <w:szCs w:val="21"/>
        </w:rPr>
      </w:pPr>
      <w:r>
        <w:rPr>
          <w:rFonts w:hint="eastAsia" w:ascii="仿宋_GB2312" w:eastAsia="仿宋_GB2312"/>
          <w:sz w:val="32"/>
          <w:szCs w:val="32"/>
        </w:rPr>
        <w:t>以习近平生态文明思想为指导，认真践行“绿水青山就是金山银山”理念，立足林场生态资源优势，在保护和培育森林资源的同时，牢固树立生态优先、绿色发展的鲜明导向,强化生态文明建设，推进林场绿色发展和高质量发展，深入研究生态价值转化途径，大力开展林下种植药材创新模式，加快林业产业发展，构建现代林业产业体系、生产体系、经营体系，从而实现生态效益、社会效益和经济效益的三赢目标，实现国有林场持续稳定发展。因此，项目建设符合国家政策发展规划要求。</w:t>
      </w:r>
    </w:p>
    <w:p>
      <w:pPr>
        <w:ind w:firstLine="642" w:firstLineChars="200"/>
        <w:rPr>
          <w:rFonts w:ascii="仿宋_GB2312" w:eastAsia="仿宋_GB2312"/>
          <w:sz w:val="32"/>
          <w:szCs w:val="32"/>
        </w:rPr>
      </w:pPr>
      <w:r>
        <w:rPr>
          <w:rFonts w:hint="eastAsia" w:ascii="宋体" w:hAnsi="Courier New" w:eastAsia="仿宋_GB2312" w:cs="Courier New"/>
          <w:b/>
          <w:bCs/>
          <w:sz w:val="32"/>
          <w:szCs w:val="21"/>
        </w:rPr>
        <w:t>（2）市场可行。</w:t>
      </w:r>
      <w:r>
        <w:rPr>
          <w:rFonts w:hint="eastAsia" w:ascii="仿宋_GB2312" w:eastAsia="仿宋_GB2312"/>
          <w:sz w:val="32"/>
          <w:szCs w:val="32"/>
        </w:rPr>
        <w:t>据了解，近10年来我国天然中药材需求翻了3番，年需求量已超60万吨，出口约30万吨。随着中医药经济的蓬勃发展、植物药需求高速增长，我国中药材资源的日益紧缺，同时，过度无序开采和生态环境的恶化，也导致中药材资源质量性紧缺，野生资源逐年减少。我国目前处于濒危状态的近3000种植物中，用于中药或具有药用价值的约占60%-70%；400余种常用中药材每年有20%出现短缺。建设地十分适宜种植苍术等中药材，项目实施适应我国中药材市场需求，可促进中药材行业快速发展。</w:t>
      </w:r>
    </w:p>
    <w:p>
      <w:pPr>
        <w:ind w:firstLine="640" w:firstLineChars="200"/>
        <w:rPr>
          <w:rFonts w:ascii="宋体" w:hAnsi="Courier New" w:eastAsia="仿宋_GB2312" w:cs="Courier New"/>
          <w:sz w:val="32"/>
          <w:szCs w:val="21"/>
        </w:rPr>
      </w:pPr>
      <w:r>
        <w:rPr>
          <w:rFonts w:hint="eastAsia" w:ascii="宋体" w:hAnsi="Courier New" w:eastAsia="仿宋_GB2312" w:cs="Courier New"/>
          <w:sz w:val="32"/>
          <w:szCs w:val="21"/>
        </w:rPr>
        <w:t>林下经济，主要是以林地资源和森林生态环境为依托，发展起来的林下种植业、养殖业、采集业和森林旅游业。在充分利用国有黄土梁子林场国家刺槐良种基地林下土地资源和林荫优势，从事林下中草药种植，从而实现资源共享、优势互补、循环相生、协调发展的生态林业模式，更是巩固国有林场改革成果、促进绿色增长、提高林地产出、增加农民收入迫切需要的有效途径。</w:t>
      </w:r>
    </w:p>
    <w:p>
      <w:pPr>
        <w:ind w:firstLine="642" w:firstLineChars="200"/>
        <w:rPr>
          <w:rFonts w:ascii="宋体" w:hAnsi="Courier New" w:eastAsia="仿宋_GB2312" w:cs="Courier New"/>
          <w:sz w:val="32"/>
          <w:szCs w:val="21"/>
        </w:rPr>
      </w:pPr>
      <w:r>
        <w:rPr>
          <w:rFonts w:hint="eastAsia" w:ascii="宋体" w:hAnsi="Courier New" w:eastAsia="仿宋_GB2312" w:cs="Courier New"/>
          <w:b/>
          <w:bCs/>
          <w:sz w:val="32"/>
          <w:szCs w:val="21"/>
        </w:rPr>
        <w:t>（3）技术可行。</w:t>
      </w:r>
      <w:r>
        <w:rPr>
          <w:rFonts w:hint="eastAsia" w:ascii="宋体" w:hAnsi="Courier New" w:eastAsia="仿宋_GB2312" w:cs="Courier New"/>
          <w:sz w:val="32"/>
          <w:szCs w:val="21"/>
        </w:rPr>
        <w:t>项目建设将与有关院校建立合作关系，在中药材种植、种苗培育等相关环节接受其信息、技术、品种方面的支持。项目建成后将紧跟国内国际先进技术发展脚步，不断缩短技术更新周期，对种植、生产各环节进行全程质量控制，确保本项目技术水平的先进地位。</w:t>
      </w:r>
    </w:p>
    <w:p>
      <w:pPr>
        <w:ind w:firstLine="642" w:firstLineChars="200"/>
        <w:rPr>
          <w:rFonts w:ascii="仿宋_GB2312" w:eastAsia="仿宋_GB2312"/>
          <w:sz w:val="32"/>
          <w:szCs w:val="32"/>
        </w:rPr>
      </w:pPr>
      <w:r>
        <w:rPr>
          <w:rFonts w:hint="eastAsia" w:ascii="宋体" w:hAnsi="Courier New" w:eastAsia="仿宋_GB2312" w:cs="Courier New"/>
          <w:b/>
          <w:bCs/>
          <w:sz w:val="32"/>
          <w:szCs w:val="21"/>
        </w:rPr>
        <w:t>（4）管理可行。</w:t>
      </w:r>
      <w:r>
        <w:rPr>
          <w:rFonts w:hint="eastAsia" w:ascii="宋体" w:hAnsi="Courier New" w:eastAsia="仿宋_GB2312" w:cs="Courier New"/>
          <w:sz w:val="32"/>
          <w:szCs w:val="21"/>
        </w:rPr>
        <w:t>本项目将根据项目建设的实际需要，专门组建机构及经营队伍，负责项目规划、立项、设计、组织和实施。在经营管理方面将制定行之有</w:t>
      </w:r>
      <w:r>
        <w:rPr>
          <w:rFonts w:hint="eastAsia" w:ascii="仿宋_GB2312" w:eastAsia="仿宋_GB2312"/>
          <w:sz w:val="32"/>
          <w:szCs w:val="32"/>
        </w:rPr>
        <w:t>效的各种管理制度，确保本项目按照现代化方式运作。</w:t>
      </w:r>
    </w:p>
    <w:p>
      <w:pPr>
        <w:ind w:firstLine="642" w:firstLineChars="200"/>
      </w:pPr>
      <w:r>
        <w:rPr>
          <w:rFonts w:hint="eastAsia" w:ascii="宋体" w:hAnsi="Courier New" w:eastAsia="仿宋_GB2312" w:cs="Courier New"/>
          <w:b/>
          <w:bCs/>
          <w:sz w:val="32"/>
          <w:szCs w:val="21"/>
        </w:rPr>
        <w:t>（5）公用设施可行。</w:t>
      </w:r>
      <w:r>
        <w:rPr>
          <w:rFonts w:hint="eastAsia" w:ascii="宋体" w:hAnsi="Courier New" w:eastAsia="仿宋_GB2312" w:cs="Courier New"/>
          <w:sz w:val="32"/>
          <w:szCs w:val="21"/>
        </w:rPr>
        <w:t>本项目利用国家刺槐良种基地优势条件，林地资源丰富，且有充足的水源，通过配套建设电力设施和生产管护用房，完善公用设施条件，能够确保项目顺利实施。</w:t>
      </w:r>
    </w:p>
    <w:p>
      <w:pPr>
        <w:ind w:firstLine="640" w:firstLineChars="200"/>
        <w:rPr>
          <w:rFonts w:ascii="仿宋_GB2312" w:eastAsia="仿宋_GB2312"/>
          <w:sz w:val="32"/>
          <w:szCs w:val="32"/>
        </w:rPr>
      </w:pPr>
      <w:r>
        <w:rPr>
          <w:rFonts w:hint="eastAsia" w:ascii="仿宋_GB2312" w:eastAsia="仿宋_GB2312"/>
          <w:sz w:val="32"/>
          <w:szCs w:val="32"/>
        </w:rPr>
        <w:t>综合，本项目建设可行，且十分必要。</w:t>
      </w:r>
    </w:p>
    <w:p>
      <w:pPr>
        <w:pStyle w:val="4"/>
      </w:pPr>
      <w:bookmarkStart w:id="50" w:name="_Toc9525"/>
      <w:r>
        <w:rPr>
          <w:rFonts w:hint="eastAsia"/>
        </w:rPr>
        <w:t>第三章  项目建设方案及实施进度</w:t>
      </w:r>
      <w:bookmarkEnd w:id="50"/>
    </w:p>
    <w:p>
      <w:pPr>
        <w:pStyle w:val="5"/>
        <w:rPr>
          <w:rFonts w:ascii="仿宋_GB2312" w:eastAsia="仿宋_GB2312"/>
        </w:rPr>
      </w:pPr>
      <w:bookmarkStart w:id="51" w:name="_Toc18449"/>
      <w:r>
        <w:rPr>
          <w:rFonts w:hint="eastAsia"/>
        </w:rPr>
        <w:t>3.1项目建设的背景</w:t>
      </w:r>
      <w:bookmarkEnd w:id="51"/>
    </w:p>
    <w:p>
      <w:pPr>
        <w:spacing w:line="560" w:lineRule="exact"/>
        <w:ind w:firstLine="640" w:firstLineChars="200"/>
        <w:rPr>
          <w:rFonts w:ascii="仿宋_GB2312" w:eastAsia="仿宋_GB2312"/>
          <w:sz w:val="32"/>
          <w:szCs w:val="32"/>
        </w:rPr>
      </w:pPr>
      <w:r>
        <w:rPr>
          <w:rFonts w:hint="eastAsia" w:ascii="仿宋_GB2312" w:eastAsia="仿宋_GB2312"/>
          <w:sz w:val="32"/>
          <w:szCs w:val="32"/>
        </w:rPr>
        <w:t>多年来，国有黄土梁子林场以“加强生态建设，保护生态安全”为己任，强化资源管理，抓好生态林业建设，全力做好森林资源管护和森林资源培育，提高生态安全保障能力。探索林业产业模式，发展林下经济是一种充分利用林下自然条件，以科学技术为支撑，以林下种植、养殖、相关产品采集加工和森林景观利用为主要内容的复合型生产经营活动。发展林下经济，改变传统的森林经济模式，对于开发森林的多种功能、促进特色农业现代化具有重要意义。推广利用林地种植中药材，发展林下特色经济，不但能提高土地利用率，也可推进产业发展，有效增加农民收入。项目实施具有一定资源、产业和区位优势，符合国家产业政策。建设单位具有较好的实施条件，将充分利用企业现有技术及资源优势，建设本次</w:t>
      </w:r>
      <w:r>
        <w:rPr>
          <w:rFonts w:hint="eastAsia" w:ascii="仿宋_GB2312" w:eastAsia="仿宋_GB2312"/>
          <w:color w:val="000000" w:themeColor="text1"/>
          <w:sz w:val="32"/>
          <w:szCs w:val="32"/>
          <w14:textFill>
            <w14:solidFill>
              <w14:schemeClr w14:val="tx1"/>
            </w14:solidFill>
          </w14:textFill>
        </w:rPr>
        <w:t>“</w:t>
      </w:r>
      <w:r>
        <w:rPr>
          <w:rFonts w:hint="eastAsia" w:ascii="仿宋" w:hAnsi="仿宋" w:eastAsia="仿宋" w:cs="仿宋"/>
          <w:color w:val="000000" w:themeColor="text1"/>
          <w:sz w:val="32"/>
          <w:szCs w:val="32"/>
          <w14:textFill>
            <w14:solidFill>
              <w14:schemeClr w14:val="tx1"/>
            </w14:solidFill>
          </w14:textFill>
        </w:rPr>
        <w:t>欠发达国有林场林下经济产业建设项目</w:t>
      </w:r>
      <w:r>
        <w:rPr>
          <w:rFonts w:hint="eastAsia" w:ascii="仿宋_GB2312" w:eastAsia="仿宋_GB2312"/>
          <w:color w:val="000000" w:themeColor="text1"/>
          <w:sz w:val="32"/>
          <w:szCs w:val="32"/>
          <w14:textFill>
            <w14:solidFill>
              <w14:schemeClr w14:val="tx1"/>
            </w14:solidFill>
          </w14:textFill>
        </w:rPr>
        <w:t>”</w:t>
      </w:r>
      <w:r>
        <w:rPr>
          <w:rFonts w:hint="eastAsia" w:ascii="仿宋_GB2312" w:eastAsia="仿宋_GB2312"/>
          <w:sz w:val="32"/>
          <w:szCs w:val="32"/>
        </w:rPr>
        <w:t>，符合国家和地方发展规划，适应农业产业结构调整，符合农业综合开发产业化龙头企业立项要求，能够快速形成区域规模，带动周边地区中草药种植产业的发展，提高林地的利用效率和农民的收入。该项目基础条件好，资源有保障，服务体系完备，预测市场前景良好。</w:t>
      </w:r>
    </w:p>
    <w:p>
      <w:pPr>
        <w:pStyle w:val="5"/>
      </w:pPr>
      <w:bookmarkStart w:id="52" w:name="_Toc25064"/>
      <w:r>
        <w:rPr>
          <w:rFonts w:hint="eastAsia"/>
        </w:rPr>
        <w:t>3.2建设目标</w:t>
      </w:r>
      <w:bookmarkEnd w:id="52"/>
    </w:p>
    <w:p>
      <w:pPr>
        <w:pStyle w:val="2"/>
        <w:spacing w:line="560" w:lineRule="exact"/>
        <w:ind w:firstLine="640" w:firstLineChars="200"/>
        <w:rPr>
          <w:rFonts w:ascii="仿宋_GB2312" w:hAnsiTheme="minorHAnsi" w:cstheme="minorBidi"/>
          <w:szCs w:val="32"/>
        </w:rPr>
      </w:pPr>
      <w:r>
        <w:rPr>
          <w:rFonts w:hint="eastAsia" w:ascii="仿宋_GB2312" w:hAnsiTheme="minorHAnsi" w:cstheme="minorBidi"/>
          <w:szCs w:val="32"/>
        </w:rPr>
        <w:t>以森林景观为依托，结合国家刺槐良种基地建设，林下种植药材苍术500亩，探索“林上+林下”复合立体森林经营模式，建设林下种植示范基地，以点带面，辐射带动周边地区林业产业发展，解决当地劳动就业20人以上，促进林场可持续发展经营。</w:t>
      </w:r>
    </w:p>
    <w:p>
      <w:pPr>
        <w:pStyle w:val="5"/>
      </w:pPr>
      <w:bookmarkStart w:id="53" w:name="_Toc28365"/>
      <w:r>
        <w:rPr>
          <w:rFonts w:hint="eastAsia"/>
        </w:rPr>
        <w:t>3.3项目建设布局</w:t>
      </w:r>
      <w:bookmarkEnd w:id="53"/>
    </w:p>
    <w:p>
      <w:pPr>
        <w:pStyle w:val="2"/>
        <w:spacing w:line="581" w:lineRule="exact"/>
        <w:ind w:firstLine="640" w:firstLineChars="200"/>
        <w:rPr>
          <w:rFonts w:ascii="仿宋" w:hAnsi="仿宋" w:eastAsia="仿宋" w:cs="仿宋"/>
          <w:szCs w:val="32"/>
        </w:rPr>
      </w:pPr>
      <w:r>
        <w:rPr>
          <w:rFonts w:hint="eastAsia" w:ascii="仿宋" w:hAnsi="仿宋" w:eastAsia="仿宋" w:cs="仿宋"/>
          <w:szCs w:val="32"/>
        </w:rPr>
        <w:t>以国家剌槐良种基地为核心，各个功能区为分区</w:t>
      </w:r>
      <w:r>
        <w:rPr>
          <w:rFonts w:hint="eastAsia" w:ascii="仿宋_GB2312" w:hAnsiTheme="minorHAnsi" w:cstheme="minorBidi"/>
          <w:szCs w:val="32"/>
        </w:rPr>
        <w:t>建立苍术林下种</w:t>
      </w:r>
      <w:r>
        <w:rPr>
          <w:rFonts w:hint="eastAsia" w:ascii="仿宋" w:hAnsi="仿宋" w:eastAsia="仿宋" w:cs="仿宋"/>
          <w:szCs w:val="32"/>
        </w:rPr>
        <w:t>植示范区，附近建设生产管护用房，架设输电线路和生产用水等设施，“以点带面”方式布局建设，逐步形成规模。</w:t>
      </w:r>
    </w:p>
    <w:p>
      <w:pPr>
        <w:pStyle w:val="5"/>
      </w:pPr>
      <w:bookmarkStart w:id="54" w:name="_Toc21458"/>
      <w:r>
        <w:rPr>
          <w:rFonts w:hint="eastAsia"/>
        </w:rPr>
        <w:t>3.4主要建设内容和规模</w:t>
      </w:r>
      <w:bookmarkEnd w:id="54"/>
    </w:p>
    <w:p>
      <w:pPr>
        <w:pStyle w:val="2"/>
        <w:numPr>
          <w:ilvl w:val="0"/>
          <w:numId w:val="1"/>
        </w:numPr>
        <w:spacing w:line="581" w:lineRule="exact"/>
        <w:ind w:firstLine="596" w:firstLineChars="200"/>
        <w:rPr>
          <w:rFonts w:ascii="仿宋_GB2312"/>
          <w:spacing w:val="-11"/>
          <w:szCs w:val="32"/>
        </w:rPr>
      </w:pPr>
      <w:r>
        <w:rPr>
          <w:rFonts w:hint="eastAsia" w:ascii="仿宋_GB2312"/>
          <w:spacing w:val="-11"/>
          <w:szCs w:val="32"/>
        </w:rPr>
        <w:t>国家刺槐良种基地林下种植苍术药材500亩。</w:t>
      </w:r>
    </w:p>
    <w:p>
      <w:pPr>
        <w:pStyle w:val="2"/>
        <w:numPr>
          <w:ilvl w:val="0"/>
          <w:numId w:val="1"/>
        </w:numPr>
        <w:spacing w:line="581" w:lineRule="exact"/>
        <w:ind w:firstLine="596" w:firstLineChars="200"/>
        <w:rPr>
          <w:rFonts w:ascii="仿宋_GB2312"/>
          <w:spacing w:val="-11"/>
          <w:szCs w:val="32"/>
        </w:rPr>
      </w:pPr>
      <w:r>
        <w:rPr>
          <w:rFonts w:hint="eastAsia" w:ascii="仿宋_GB2312"/>
          <w:spacing w:val="-11"/>
          <w:szCs w:val="32"/>
        </w:rPr>
        <w:t>改建生产管护用房</w:t>
      </w:r>
      <w:r>
        <w:rPr>
          <w:rFonts w:hint="eastAsia" w:ascii="仿宋_GB2312"/>
          <w:szCs w:val="32"/>
        </w:rPr>
        <w:t>150平方米，建设基础设施1套。基础设施包括：院墙、院内硬化、绿化、空气节能供暖设备、深水井等。</w:t>
      </w:r>
    </w:p>
    <w:p>
      <w:pPr>
        <w:pStyle w:val="2"/>
        <w:numPr>
          <w:ilvl w:val="0"/>
          <w:numId w:val="1"/>
        </w:numPr>
        <w:spacing w:line="581" w:lineRule="exact"/>
        <w:ind w:firstLine="596" w:firstLineChars="200"/>
        <w:rPr>
          <w:rFonts w:ascii="仿宋_GB2312"/>
          <w:spacing w:val="-11"/>
          <w:szCs w:val="32"/>
        </w:rPr>
      </w:pPr>
      <w:r>
        <w:rPr>
          <w:rFonts w:hint="eastAsia" w:ascii="仿宋_GB2312"/>
          <w:spacing w:val="-11"/>
          <w:szCs w:val="32"/>
        </w:rPr>
        <w:t>辅助生产用电设施建设，</w:t>
      </w:r>
      <w:r>
        <w:rPr>
          <w:rFonts w:hint="eastAsia"/>
        </w:rPr>
        <w:t>架设高压输电线路2.5km，架设低压输电线路1.0km，安装变压器1台；</w:t>
      </w:r>
    </w:p>
    <w:p>
      <w:pPr>
        <w:pStyle w:val="5"/>
        <w:spacing w:line="581" w:lineRule="exact"/>
        <w:rPr>
          <w:rFonts w:ascii="仿宋_GB2312" w:eastAsia="仿宋_GB2312"/>
        </w:rPr>
      </w:pPr>
      <w:bookmarkStart w:id="55" w:name="_Toc28892"/>
      <w:r>
        <w:rPr>
          <w:rFonts w:hint="eastAsia"/>
        </w:rPr>
        <w:t>3.5生产技术方案</w:t>
      </w:r>
      <w:bookmarkEnd w:id="55"/>
    </w:p>
    <w:p>
      <w:pPr>
        <w:spacing w:line="581" w:lineRule="exact"/>
        <w:rPr>
          <w:rFonts w:ascii="仿宋" w:hAnsi="仿宋" w:eastAsia="仿宋" w:cs="仿宋"/>
          <w:sz w:val="32"/>
          <w:szCs w:val="32"/>
        </w:rPr>
      </w:pPr>
      <w:r>
        <w:rPr>
          <w:rFonts w:hint="eastAsia" w:ascii="仿宋" w:hAnsi="仿宋" w:eastAsia="仿宋" w:cs="仿宋"/>
          <w:b/>
          <w:bCs/>
          <w:sz w:val="32"/>
          <w:szCs w:val="32"/>
        </w:rPr>
        <w:t>3.5.1林下种植苍术生产技术方案</w:t>
      </w:r>
      <w:r>
        <w:rPr>
          <w:rFonts w:hint="eastAsia" w:ascii="仿宋" w:hAnsi="仿宋" w:eastAsia="仿宋" w:cs="仿宋"/>
          <w:sz w:val="32"/>
          <w:szCs w:val="32"/>
        </w:rPr>
        <w:t xml:space="preserve"> </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1.整地</w:t>
      </w:r>
    </w:p>
    <w:p>
      <w:pPr>
        <w:pStyle w:val="2"/>
        <w:spacing w:line="581" w:lineRule="exact"/>
        <w:ind w:firstLine="640" w:firstLineChars="200"/>
        <w:rPr>
          <w:rFonts w:ascii="仿宋" w:hAnsi="仿宋" w:eastAsia="仿宋" w:cs="仿宋"/>
          <w:szCs w:val="32"/>
        </w:rPr>
      </w:pPr>
      <w:r>
        <w:rPr>
          <w:rFonts w:hint="eastAsia" w:ascii="仿宋" w:hAnsi="仿宋" w:eastAsia="仿宋" w:cs="仿宋"/>
          <w:szCs w:val="32"/>
        </w:rPr>
        <w:t>国家刺槐良种基地种子园、子代测定林、采穗圃、收集圃都是通过机械整地形成梯田，刺槐栽植密度为3m*3m。现栽植的刺槐林下，阳光充足、排水良好、土层深厚、疏松肥沃，土壤为沙质壤土。在梯田内的各株刺槐间进行整地做床，刺槐植株根部四周30厘米内，不能破坏土层，不能做床，保护刺槐正常生长。整地做床时，亩施复合肥50公斤，肥料撒施后深翻25～30厘米，肥料土壤混合均匀,再整平耙细。</w:t>
      </w:r>
    </w:p>
    <w:p>
      <w:pPr>
        <w:pStyle w:val="2"/>
        <w:spacing w:line="581" w:lineRule="exact"/>
        <w:rPr>
          <w:rFonts w:ascii="仿宋" w:hAnsi="仿宋" w:eastAsia="仿宋" w:cs="仿宋"/>
          <w:szCs w:val="32"/>
        </w:rPr>
      </w:pPr>
      <w:r>
        <w:rPr>
          <w:rFonts w:hint="eastAsia" w:ascii="仿宋" w:hAnsi="仿宋" w:eastAsia="仿宋" w:cs="仿宋"/>
          <w:szCs w:val="32"/>
        </w:rPr>
        <w:t>采用大垄高床技术，床宽110-120厘米，长度视刺槐株距而定，床高10-12厘米。</w:t>
      </w:r>
    </w:p>
    <w:p>
      <w:pPr>
        <w:pStyle w:val="2"/>
        <w:spacing w:line="581" w:lineRule="exact"/>
        <w:ind w:left="630"/>
        <w:rPr>
          <w:rFonts w:ascii="仿宋" w:hAnsi="仿宋" w:eastAsia="仿宋" w:cs="仿宋"/>
          <w:szCs w:val="32"/>
        </w:rPr>
      </w:pPr>
      <w:r>
        <w:rPr>
          <w:rFonts w:hint="eastAsia" w:ascii="仿宋" w:hAnsi="仿宋" w:eastAsia="仿宋" w:cs="仿宋"/>
          <w:szCs w:val="32"/>
        </w:rPr>
        <w:t>2.种植</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在4月下旬播种，播种前，细耙整平，用厚0.03mm地膜蒙床，然后，按株距17厘米、行距20厘米用播种器定点播种，打穴深度2-3厘米，每穴播种6-8粒种子，亩用种量3-4公斤。播种前，用种衣剂对种子进行处理，播种后，用细土覆盖2-3厘米。第一次浇水必须灌透，第二次浇水，视天气情况，看覆土湿干程度决定，如出现干旱，利用喷灌或人工喷施浇水，时间为5分钟左右。达不到成活率的地块，第二年要进行补种。</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3.田间管理</w:t>
      </w:r>
    </w:p>
    <w:p>
      <w:pPr>
        <w:pStyle w:val="13"/>
        <w:widowControl/>
        <w:wordWrap w:val="0"/>
        <w:spacing w:before="0" w:beforeAutospacing="0" w:after="135" w:afterAutospacing="0" w:line="581" w:lineRule="exact"/>
        <w:ind w:firstLine="640" w:firstLineChars="200"/>
        <w:rPr>
          <w:rFonts w:ascii="仿宋" w:hAnsi="仿宋" w:eastAsia="仿宋" w:cs="仿宋"/>
          <w:kern w:val="2"/>
          <w:sz w:val="32"/>
          <w:szCs w:val="32"/>
        </w:rPr>
      </w:pPr>
      <w:r>
        <w:rPr>
          <w:rFonts w:hint="eastAsia" w:ascii="仿宋" w:hAnsi="仿宋" w:eastAsia="仿宋" w:cs="仿宋"/>
          <w:kern w:val="2"/>
          <w:sz w:val="32"/>
          <w:szCs w:val="32"/>
        </w:rPr>
        <w:t>1)中耕除草：幼苗期应勤除草松土，定植后注意中耕除草。如天气干旱，要适时灌水，也可以结合追肥一起进行。第二年、第三年要筹集资金，进行中耕除草，保证苍术正常生长。种子园其它非苍术生长的地块除草，结合种子园建设资金进行。种植苍术的地块中耕除草结合本项目资金进行，两者不存在使用资金重复问题，不存在套取资金现象。</w:t>
      </w:r>
    </w:p>
    <w:p>
      <w:pPr>
        <w:pStyle w:val="13"/>
        <w:widowControl/>
        <w:wordWrap w:val="0"/>
        <w:spacing w:before="0" w:beforeAutospacing="0" w:after="135" w:afterAutospacing="0" w:line="581" w:lineRule="exact"/>
        <w:ind w:firstLine="640" w:firstLineChars="200"/>
        <w:rPr>
          <w:rFonts w:ascii="仿宋" w:hAnsi="仿宋" w:eastAsia="仿宋" w:cs="仿宋"/>
          <w:kern w:val="2"/>
          <w:sz w:val="32"/>
          <w:szCs w:val="32"/>
        </w:rPr>
      </w:pPr>
      <w:r>
        <w:rPr>
          <w:rFonts w:hint="eastAsia" w:ascii="仿宋" w:hAnsi="仿宋" w:eastAsia="仿宋" w:cs="仿宋"/>
          <w:kern w:val="2"/>
          <w:sz w:val="32"/>
          <w:szCs w:val="32"/>
        </w:rPr>
        <w:t>2)追肥：出圃前一般每年追肥2次，4月中旬施氮磷钾复合肥，每亩20公斤，7月中旬追钾肥，每亩3公斤。</w:t>
      </w:r>
    </w:p>
    <w:p>
      <w:pPr>
        <w:pStyle w:val="13"/>
        <w:widowControl/>
        <w:wordWrap w:val="0"/>
        <w:spacing w:before="0" w:beforeAutospacing="0" w:after="135" w:afterAutospacing="0" w:line="581" w:lineRule="exact"/>
        <w:ind w:firstLine="640" w:firstLineChars="200"/>
        <w:rPr>
          <w:rFonts w:ascii="仿宋" w:hAnsi="仿宋" w:eastAsia="仿宋" w:cs="仿宋"/>
          <w:kern w:val="2"/>
          <w:sz w:val="32"/>
          <w:szCs w:val="32"/>
        </w:rPr>
      </w:pPr>
      <w:r>
        <w:rPr>
          <w:rFonts w:hint="eastAsia" w:ascii="仿宋" w:hAnsi="仿宋" w:eastAsia="仿宋" w:cs="仿宋"/>
          <w:kern w:val="2"/>
          <w:sz w:val="32"/>
          <w:szCs w:val="32"/>
        </w:rPr>
        <w:t>3)灌水与排水：若遇干旱要及时浇水，保持土壤湿润，雨季应注意及时排水防涝，以免烂根死苗、降低产量和品质。</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4)除蕾：在7-8月现蕾期，对于非留种地的苍术植株应及时摘除花蕾，以利地下部生长。</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4.病虫害防治</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1)病害：根腐病，5、6月发病。</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防治方法：要注意开沟排水，发现病株立即拔除，用50%退菌特可湿性粉剂1000倍液，也可用50%托布津800倍液喷射,可有效防治受害植株。</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2)虫害：有蚜虫危害叶片和嫩梢，尤以春夏季最为严重，另有小地老虎为害。</w:t>
      </w:r>
    </w:p>
    <w:p>
      <w:pPr>
        <w:spacing w:line="581" w:lineRule="exact"/>
        <w:ind w:firstLine="640" w:firstLineChars="200"/>
        <w:rPr>
          <w:rFonts w:ascii="仿宋_GB2312" w:hAnsi="仿宋" w:eastAsia="仿宋_GB2312" w:cs="Times New Roman"/>
          <w:sz w:val="30"/>
          <w:szCs w:val="30"/>
          <w:lang w:val="zh-CN"/>
        </w:rPr>
      </w:pPr>
      <w:r>
        <w:rPr>
          <w:rFonts w:hint="eastAsia" w:ascii="仿宋" w:hAnsi="仿宋" w:eastAsia="仿宋" w:cs="仿宋"/>
          <w:sz w:val="32"/>
          <w:szCs w:val="32"/>
        </w:rPr>
        <w:t>防治方法：可用化学药剂，结合刺槐种子园蚜虫防治方法和防治时间进行。</w:t>
      </w:r>
      <w:r>
        <w:rPr>
          <w:rFonts w:hint="eastAsia" w:ascii="仿宋_GB2312" w:hAnsi="仿宋" w:eastAsia="仿宋_GB2312" w:cs="Times New Roman"/>
          <w:sz w:val="30"/>
          <w:szCs w:val="30"/>
          <w:lang w:val="zh-CN"/>
        </w:rPr>
        <w:t>喷施40％乐果乳油和吡虫啉，稀释1000～2000倍药液，进行防治。</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5、采收与加工</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苍术需生长3年后方可收获。春、秋两季都可采挖，但以秋后至翌年初春苗未出土前采挖的质量好。挖出后，除去茎叶和泥土，晒到五成干时装进筐中，撞去部分须根，表皮呈黑褐色;晒到六七成干时，再撞1次，以去掉全部老皮;晒到全干时最后撞1次，使表皮呈黄褐色，即成商品。以个大、质坚实、断面朱砂点多、香气浓者佳。每亩可产干品药材200公斤左右。</w:t>
      </w:r>
    </w:p>
    <w:p>
      <w:pPr>
        <w:spacing w:line="581" w:lineRule="exact"/>
        <w:rPr>
          <w:rFonts w:ascii="仿宋" w:hAnsi="仿宋" w:eastAsia="仿宋" w:cs="仿宋"/>
          <w:sz w:val="32"/>
          <w:szCs w:val="32"/>
        </w:rPr>
      </w:pPr>
      <w:r>
        <w:rPr>
          <w:rFonts w:hint="eastAsia" w:ascii="仿宋" w:hAnsi="仿宋" w:eastAsia="仿宋" w:cs="仿宋"/>
          <w:b/>
          <w:bCs/>
          <w:sz w:val="32"/>
          <w:szCs w:val="32"/>
        </w:rPr>
        <w:t xml:space="preserve">3.5.2辅助设施施工技术方案 </w:t>
      </w:r>
      <w:r>
        <w:rPr>
          <w:rFonts w:hint="eastAsia" w:ascii="仿宋" w:hAnsi="仿宋" w:eastAsia="仿宋" w:cs="仿宋"/>
          <w:sz w:val="32"/>
          <w:szCs w:val="32"/>
        </w:rPr>
        <w:t xml:space="preserve"> </w:t>
      </w:r>
    </w:p>
    <w:p>
      <w:pPr>
        <w:spacing w:line="581" w:lineRule="exact"/>
        <w:ind w:firstLine="642" w:firstLineChars="200"/>
        <w:rPr>
          <w:rFonts w:ascii="仿宋" w:hAnsi="仿宋" w:eastAsia="仿宋" w:cs="仿宋"/>
          <w:b/>
          <w:bCs/>
          <w:sz w:val="32"/>
          <w:szCs w:val="32"/>
        </w:rPr>
      </w:pPr>
      <w:r>
        <w:rPr>
          <w:rFonts w:hint="eastAsia" w:ascii="仿宋" w:hAnsi="仿宋" w:eastAsia="仿宋" w:cs="仿宋"/>
          <w:b/>
          <w:bCs/>
          <w:sz w:val="32"/>
          <w:szCs w:val="32"/>
        </w:rPr>
        <w:t>（1）输电线路</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 xml:space="preserve">现场供电线路采用三相四线制，用电区域设置固定配电箱，实行一机一闸一保护。用水由建设单位提供进水源，保证各个工作面的施工用水及生活用水。严格按照电力设施管理办法架设用电线路和变压器。 </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主要作业流程：施工条件</w:t>
      </w:r>
      <w:r>
        <w:rPr>
          <w:rFonts w:ascii="仿宋_GB2312" w:eastAsia="仿宋_GB2312"/>
          <w:sz w:val="32"/>
          <w:szCs w:val="32"/>
        </w:rPr>
        <w:t>→</w:t>
      </w:r>
      <w:r>
        <w:rPr>
          <w:rFonts w:hint="eastAsia" w:ascii="仿宋_GB2312" w:eastAsia="仿宋_GB2312"/>
          <w:sz w:val="32"/>
          <w:szCs w:val="32"/>
        </w:rPr>
        <w:t>施工准备</w:t>
      </w:r>
      <w:r>
        <w:rPr>
          <w:rFonts w:ascii="仿宋_GB2312" w:eastAsia="仿宋_GB2312"/>
          <w:sz w:val="32"/>
          <w:szCs w:val="32"/>
        </w:rPr>
        <w:t>→</w:t>
      </w:r>
      <w:r>
        <w:rPr>
          <w:rFonts w:hint="eastAsia" w:ascii="仿宋_GB2312" w:eastAsia="仿宋_GB2312"/>
          <w:sz w:val="32"/>
          <w:szCs w:val="32"/>
        </w:rPr>
        <w:t>复测与定位</w:t>
      </w:r>
      <w:r>
        <w:rPr>
          <w:rFonts w:ascii="仿宋_GB2312" w:eastAsia="仿宋_GB2312"/>
          <w:sz w:val="32"/>
          <w:szCs w:val="32"/>
        </w:rPr>
        <w:t>→</w:t>
      </w:r>
      <w:r>
        <w:rPr>
          <w:rFonts w:hint="eastAsia" w:ascii="仿宋_GB2312" w:eastAsia="仿宋_GB2312"/>
          <w:sz w:val="32"/>
          <w:szCs w:val="32"/>
        </w:rPr>
        <w:t>立杆</w:t>
      </w:r>
      <w:r>
        <w:rPr>
          <w:rFonts w:ascii="仿宋_GB2312" w:eastAsia="仿宋_GB2312"/>
          <w:sz w:val="32"/>
          <w:szCs w:val="32"/>
        </w:rPr>
        <w:t>→</w:t>
      </w:r>
      <w:r>
        <w:rPr>
          <w:rFonts w:hint="eastAsia" w:ascii="仿宋_GB2312" w:eastAsia="仿宋_GB2312"/>
          <w:sz w:val="32"/>
          <w:szCs w:val="32"/>
        </w:rPr>
        <w:t>基础回填</w:t>
      </w:r>
      <w:r>
        <w:rPr>
          <w:rFonts w:ascii="仿宋_GB2312" w:eastAsia="仿宋_GB2312"/>
          <w:sz w:val="32"/>
          <w:szCs w:val="32"/>
        </w:rPr>
        <w:t>→</w:t>
      </w:r>
      <w:r>
        <w:rPr>
          <w:rFonts w:hint="eastAsia" w:ascii="仿宋_GB2312" w:eastAsia="仿宋_GB2312"/>
          <w:sz w:val="32"/>
          <w:szCs w:val="32"/>
        </w:rPr>
        <w:t>架线工程</w:t>
      </w:r>
      <w:r>
        <w:rPr>
          <w:rFonts w:ascii="仿宋_GB2312" w:eastAsia="仿宋_GB2312"/>
          <w:sz w:val="32"/>
          <w:szCs w:val="32"/>
        </w:rPr>
        <w:t>→</w:t>
      </w:r>
      <w:r>
        <w:rPr>
          <w:rFonts w:hint="eastAsia" w:ascii="仿宋_GB2312" w:eastAsia="仿宋_GB2312"/>
          <w:sz w:val="32"/>
          <w:szCs w:val="32"/>
        </w:rPr>
        <w:t>安装变压器</w:t>
      </w:r>
      <w:r>
        <w:rPr>
          <w:rFonts w:ascii="仿宋_GB2312" w:eastAsia="仿宋_GB2312"/>
          <w:sz w:val="32"/>
          <w:szCs w:val="32"/>
        </w:rPr>
        <w:t>→</w:t>
      </w:r>
      <w:r>
        <w:rPr>
          <w:rFonts w:hint="eastAsia" w:ascii="仿宋_GB2312" w:eastAsia="仿宋_GB2312"/>
          <w:sz w:val="32"/>
          <w:szCs w:val="32"/>
        </w:rPr>
        <w:t>安装质量检验。</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①输电线路</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首先，由工程负责人现场安排人员进行放线，在放线过程中，必须对线材进行认真的外观检查，对线材损伤，断头及其它缺陷应采取措施处理后方可进入下道工序。放线时要尽量避免导线与地面摩擦，尤其在岩石裸露地段更应采取必要的措施保护导线，如果发生导线或地线损伤时必须按“施工及验收规范”所规定的程序与要求进行处理。人力放线时，为减少拖线长度，线盘一般放在线距离的中间，以便向两头展放，并要求线盘放置处地势较平坦宽广以便回线盘放。要跨越交通路口、高差较大的坎边、树木较多的地段、有刮磨电线可能之处，均应布置临护人员，以便观查导线展放情况，防止导线因挂住而产生磨伤、断股，或导致水泥杆上的横杆和灯笼及金钩损伤。</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其次，要预设临时拉线的位置，在紧线开始前应该在耐张杆塔受力的反方向预设临时增强杆塔的稳定性，抵消紧线时导线的一部分水平力和平衡单边挂线后的张力，以防杆塔发生倾斜或变形，即杆塔上每一根架线都要敷设一根临时拉线，拉线的悬挂点应尽量靠近线点。</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再次，进行垂观测挡选择，为保证施工质量，弧垂观测挡选择挡距较大，并力求两侧悬点高差较小及接近挡距的线挡对于5挡及以下的耐张段，可选择靠近中间的大挡距观测弧垂；对6-12挡的耐张段落，至少选择两挡，且靠近两端的大挡距观测弧垂，但不宜选在有耐张塔的挡距内。对于12挡以上的耐张段，在耐张段两端及中间至少各选个较大挡距观测弧垂。</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最后，进行紧线，紧线牵引钢绳与架线的连接应牢固，常用的有卡线器、线夹及绳套等边接方法上扬、悬挂角或转角过大以及可能通过压接管的杆塔，要有临时监护人，各监视点应有可靠的通信工具，以监视紧线情况，防止发生意外。要注意架线可能磨损、碰伤、掉槽及卡线等情况。紧线操作应在白天进行，天气应无雾、雷及大风。紧线段的锚固杆塔已挂线完毕，指挥员在紧线前对工作人员要进行详细分工，交待岗位、责任、任务、联系信号以及注意事项。紧线前应再次检查架线是否有未消除的邦线，是否有附加物及损坏尚未处理，或接头未接续等情况，应确保无影响紧线操作之处。</w:t>
      </w:r>
    </w:p>
    <w:p>
      <w:pPr>
        <w:spacing w:line="581" w:lineRule="exact"/>
        <w:ind w:firstLine="640" w:firstLineChars="200"/>
        <w:rPr>
          <w:rFonts w:ascii="仿宋_GB2312" w:eastAsia="仿宋_GB2312"/>
          <w:sz w:val="32"/>
          <w:szCs w:val="32"/>
        </w:rPr>
      </w:pPr>
      <w:r>
        <w:rPr>
          <w:rFonts w:hint="eastAsia" w:ascii="仿宋_GB2312" w:eastAsia="仿宋_GB2312"/>
          <w:sz w:val="32"/>
          <w:szCs w:val="32"/>
        </w:rPr>
        <w:t>附件安装，全部</w:t>
      </w:r>
      <w:r>
        <w:rPr>
          <w:rFonts w:hint="eastAsia" w:ascii="仿宋_GB2312" w:eastAsia="仿宋_GB2312"/>
          <w:color w:val="000000" w:themeColor="text1"/>
          <w:sz w:val="32"/>
          <w:szCs w:val="32"/>
          <w14:textFill>
            <w14:solidFill>
              <w14:schemeClr w14:val="tx1"/>
            </w14:solidFill>
          </w14:textFill>
        </w:rPr>
        <w:t>金具</w:t>
      </w:r>
      <w:r>
        <w:rPr>
          <w:rFonts w:hint="eastAsia" w:ascii="仿宋_GB2312" w:eastAsia="仿宋_GB2312"/>
          <w:sz w:val="32"/>
          <w:szCs w:val="32"/>
        </w:rPr>
        <w:t>及绝缘子必须有合格证书，符合国家标准，无合格证明书者不得使用。绝缘子及金具在安装前必须经过仔细的外观检查，对于绝缘子、伞裙不得有碰损、裂痕等缺陷且整体连接牢固，对于金具，应表面光滑镀锌良好无毛刺砂眼或变形外观检查不合格者严禁使用。金具镀锌层有局部碰损、剥落或锋时应除锈后补刷防锈漆，钢芯铝纹线装入线夹前须在导线表面与外层股同纹制力向紧密包缠铝包带，铝包带露出夹口下不应超过10mm,且端头应回到线夹内压紧。</w:t>
      </w:r>
    </w:p>
    <w:p>
      <w:pPr>
        <w:spacing w:line="581" w:lineRule="exact"/>
        <w:ind w:left="630"/>
        <w:rPr>
          <w:rFonts w:ascii="仿宋" w:hAnsi="仿宋" w:eastAsia="仿宋" w:cs="仿宋"/>
          <w:sz w:val="32"/>
          <w:szCs w:val="32"/>
        </w:rPr>
      </w:pPr>
      <w:r>
        <w:rPr>
          <w:rFonts w:hint="eastAsia" w:ascii="仿宋" w:hAnsi="仿宋" w:eastAsia="仿宋" w:cs="仿宋"/>
          <w:sz w:val="32"/>
          <w:szCs w:val="32"/>
        </w:rPr>
        <w:t>②变压器安装</w:t>
      </w:r>
    </w:p>
    <w:p>
      <w:pPr>
        <w:pStyle w:val="2"/>
        <w:ind w:firstLine="640"/>
      </w:pPr>
      <w:r>
        <w:rPr>
          <w:rFonts w:hint="eastAsia"/>
        </w:rPr>
        <w:t>首先，确定新架设的输电线路名称，申请线路停电。施工人员进入工作区，工作区要设围栏挂警告牌，非工作人员不得闯入，工作人员要戴安全帽，高空作业要扣安全带，要持证上岗，进入工作前要进行班前会，对工作进行技术质量安全交底、班后总结，严格按《安规》进行操作，不得违章操作，工具采用绳索传递、不得抛递、作业现场有安全员监督、不得离开岗位，安全监护人要及时提醒操作人员系好安全带。</w:t>
      </w:r>
    </w:p>
    <w:p>
      <w:pPr>
        <w:pStyle w:val="2"/>
        <w:ind w:firstLine="640"/>
      </w:pPr>
      <w:r>
        <w:rPr>
          <w:rFonts w:hint="eastAsia"/>
        </w:rPr>
        <w:t>其次，台架安装。台架水泥杆基坑开挖，严格按照设计挖到深度，保证杆组的稳定性。杆塔的地基坑开挖前要清楚地下是否有管道及通讯光缆，尽量避开，在位置确认无误后方可进行施工。台架横担及变压器支架安装、台架横担端部上下歪斜不大于20mm，左右纽斜不大于20mm。</w:t>
      </w:r>
    </w:p>
    <w:p>
      <w:pPr>
        <w:pStyle w:val="2"/>
        <w:ind w:firstLine="640"/>
      </w:pPr>
      <w:r>
        <w:rPr>
          <w:rFonts w:hint="eastAsia"/>
        </w:rPr>
        <w:t>其次，隔离开关、跌落熔断器、避雷器、变压器、低压开关和计算箱等的链接和安装。变压器采用吊车吊装方式。</w:t>
      </w:r>
    </w:p>
    <w:p>
      <w:pPr>
        <w:pStyle w:val="2"/>
        <w:ind w:firstLine="640"/>
      </w:pPr>
      <w:r>
        <w:rPr>
          <w:rFonts w:hint="eastAsia"/>
        </w:rPr>
        <w:t>再次，接地装置的安装，按设计要求台架接地如100kvA以上变压器者按接地电阻不大于4Ω，100kvA以下变压器接地电阻不大于10Ω。</w:t>
      </w:r>
    </w:p>
    <w:p>
      <w:pPr>
        <w:pStyle w:val="2"/>
        <w:ind w:firstLine="640"/>
      </w:pPr>
      <w:r>
        <w:rPr>
          <w:rFonts w:hint="eastAsia"/>
        </w:rPr>
        <w:t>以上工作完成后、工作人员撤离工作现场、拆除接地线。重复检查接地线无误，经监理同意送电，以上工作当天（白天）内完成。</w:t>
      </w:r>
    </w:p>
    <w:p>
      <w:pPr>
        <w:pStyle w:val="2"/>
        <w:ind w:firstLine="640"/>
      </w:pPr>
      <w:r>
        <w:rPr>
          <w:rFonts w:hint="eastAsia"/>
        </w:rPr>
        <w:t>台架安装应符合以下规定：安装应牢固可靠，电气连接应接触紧密，不同金属连接应有过渡措施，瓷件表面光洁，无裂缝破损现象。变压器安装符合下列规定：一二次引线排列整齐，绑扎牢固。油枕、油位正常，外壳干净。接地可靠，接地电阻符合设计规范要求。套管压线螺栓等部件齐全，避免承受外加应力。呼吸孔道要通畅。跌落式断熔器安装应符合下列规定：各部件完整，转轴光滑灵活。瓷件良好、溶丝管不应有吸潮膨胀或弯曲现象。熔断器安装牢固。排列整齐，熔管轴线与地面的垂线夹角为15°-30°。熔断器水平相间距离不小于500mm。操作灵活，接触紧密，合熔丝管时上触头应有一定的压缩行程。上、下线线压紧，与线路导线的连接紧密可靠。隔离开关安装应符合规定：瓷件良好，操作机构动作灵活，刀刃合闸时接触紧密，分闸后应有不小于200mm的空间间隙，与引线的连接紧密可靠。避雷器安装应符合如下要求：瓷套与固定横担上要牢固，排列整齐高低一致，相间距离不小于350mm，10kv及以下不小于150mm；引线短而直，连接紧密，引上铜线不小于16mm</w:t>
      </w:r>
      <w:r>
        <w:rPr>
          <w:rFonts w:hint="eastAsia"/>
          <w:vertAlign w:val="superscript"/>
        </w:rPr>
        <w:t>2</w:t>
      </w:r>
      <w:r>
        <w:rPr>
          <w:rFonts w:hint="eastAsia"/>
        </w:rPr>
        <w:t>，铝线不小于25mm</w:t>
      </w:r>
      <w:r>
        <w:rPr>
          <w:rFonts w:hint="eastAsia"/>
          <w:vertAlign w:val="superscript"/>
        </w:rPr>
        <w:t>2</w:t>
      </w:r>
      <w:r>
        <w:rPr>
          <w:rFonts w:hint="eastAsia"/>
        </w:rPr>
        <w:t>，与电气部分连接不应使避雷器产生外加应力；引线必须是未用线，接地可靠，接地电阻符合规定，引下线铜线不小于25mm</w:t>
      </w:r>
      <w:r>
        <w:rPr>
          <w:rFonts w:hint="eastAsia"/>
          <w:vertAlign w:val="superscript"/>
        </w:rPr>
        <w:t>2</w:t>
      </w:r>
      <w:r>
        <w:rPr>
          <w:rFonts w:hint="eastAsia"/>
        </w:rPr>
        <w:t>铝线不小于35mm</w:t>
      </w:r>
      <w:r>
        <w:rPr>
          <w:rFonts w:hint="eastAsia"/>
          <w:vertAlign w:val="superscript"/>
        </w:rPr>
        <w:t>2</w:t>
      </w:r>
      <w:r>
        <w:rPr>
          <w:rFonts w:hint="eastAsia"/>
        </w:rPr>
        <w:t>。低压计量箱的安装施工注意的问题：低压熔断器和开关安装各部接触紧密，便于操作和观察。低压保险丝片安装无弯折、压偏、伤痕现象。严禁用线材代替保险丝。外壳接地。箱安装牢固，便于安装。</w:t>
      </w:r>
    </w:p>
    <w:p>
      <w:pPr>
        <w:pStyle w:val="2"/>
        <w:ind w:firstLine="640"/>
        <w:rPr>
          <w:rFonts w:ascii="仿宋" w:hAnsi="仿宋" w:eastAsia="仿宋" w:cs="仿宋"/>
          <w:szCs w:val="32"/>
        </w:rPr>
      </w:pPr>
      <w:r>
        <w:rPr>
          <w:rFonts w:hint="eastAsia" w:ascii="仿宋" w:hAnsi="仿宋" w:eastAsia="仿宋" w:cs="仿宋"/>
          <w:b/>
          <w:bCs/>
          <w:szCs w:val="32"/>
        </w:rPr>
        <w:t>(2)生产管护用房</w:t>
      </w:r>
    </w:p>
    <w:p>
      <w:pPr>
        <w:pStyle w:val="2"/>
        <w:ind w:firstLine="640"/>
        <w:rPr>
          <w:rFonts w:ascii="仿宋" w:hAnsi="仿宋" w:eastAsia="仿宋" w:cs="仿宋"/>
          <w:szCs w:val="32"/>
        </w:rPr>
      </w:pPr>
      <w:r>
        <w:rPr>
          <w:rFonts w:hint="eastAsia" w:ascii="仿宋" w:hAnsi="仿宋" w:eastAsia="仿宋" w:cs="仿宋"/>
          <w:szCs w:val="32"/>
        </w:rPr>
        <w:t xml:space="preserve">解决材料的堆放场地、机械设备摆放用地。 按施工总平面图，搭建施工临建设施。做好场区内的测量工作，设置永久性测量标志，为放线定位做好准备。针对本工程重点，制定重要部位、施工难点较集中的施工方案及施工工艺，充分做好技术准备工作。认真做好施工图纸会审，重视做好技术交底工作。 </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 xml:space="preserve">技术准备工作的主要内容包括：经济技术调查、组织技术文件会审、编制质量计划和实施性施工组织设计、编制创优规划实施细则、检查交接、工程及材料试验检测、工程测量及技术交底等，并在中标后立即编制切合实际的施工进度计划上报监理工程师，经监理工程师批准后立即施工，保证工程按时完工。  </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 xml:space="preserve">接收图纸资料后，复核图纸，了解设计意图，掌握设计标准及施工过程中的注意事项，根据会审进一步勘察施工现场，详细了解标段状况和施工环境，在此基础上编制实施性施工组织设计，上报建设单位及监理工程师，经审核后实施。  </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 xml:space="preserve">建立工程档案，按照工程档案管理办法，分类收集整理内业资料，所有资料均由专职资料员负责整理保管归档，确保工程的可追溯性。  </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 xml:space="preserve">施工机械准备，按不同的施工阶段安排机械进退场，并在进场前对设备进行一次检修、调试，确保设备进场后能正常使用。基础工程施工前，运输车辆、装载机等大型设备应调试安装到位，其他施工机械依据工序安排提前3天进场，安装调试完毕后，填写使用正常记录。施工现场始终保持机械进退有序，最大限度提高机械设备的利用率。 </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 xml:space="preserve">物资准备，施工前的物资准备主要是周转料的加工准备。根据工程进度计划，从附近调运部分周转材料以及从当地购买足够的周转材料确保满足本工程的需求。选择有长期合作经验、信誉良好的供货厂家，以确保材料质量，并做到提前备货，以保证工程进度，不积压材料。 </w:t>
      </w:r>
    </w:p>
    <w:p>
      <w:pPr>
        <w:spacing w:line="581" w:lineRule="exact"/>
        <w:ind w:firstLine="640" w:firstLineChars="200"/>
        <w:rPr>
          <w:rFonts w:ascii="仿宋" w:hAnsi="仿宋" w:eastAsia="仿宋" w:cs="仿宋"/>
          <w:sz w:val="32"/>
          <w:szCs w:val="32"/>
        </w:rPr>
      </w:pPr>
      <w:r>
        <w:rPr>
          <w:rFonts w:hint="eastAsia" w:ascii="仿宋" w:hAnsi="仿宋" w:eastAsia="仿宋" w:cs="仿宋"/>
          <w:sz w:val="32"/>
          <w:szCs w:val="32"/>
        </w:rPr>
        <w:t xml:space="preserve">人员准备，开工前7日内，所有管理人员全部到位，劳务人员根据现场需要分批进场，施工人员、技术人员上岗前由技术负责人进行全员交底，充分认识本工程的重点、难点和需要注意的事项，并对所有人员实行挂牌上岗。  </w:t>
      </w:r>
    </w:p>
    <w:p>
      <w:pPr>
        <w:pStyle w:val="5"/>
        <w:spacing w:line="581" w:lineRule="exact"/>
      </w:pPr>
      <w:bookmarkStart w:id="56" w:name="_Toc10207"/>
      <w:r>
        <w:rPr>
          <w:rFonts w:hint="eastAsia"/>
        </w:rPr>
        <w:t>3.6项目实施进度安排</w:t>
      </w:r>
      <w:bookmarkEnd w:id="56"/>
    </w:p>
    <w:p>
      <w:pPr>
        <w:spacing w:line="640" w:lineRule="exact"/>
        <w:ind w:firstLine="640" w:firstLineChars="200"/>
        <w:rPr>
          <w:rFonts w:ascii="仿宋" w:hAnsi="仿宋" w:eastAsia="仿宋" w:cs="仿宋"/>
          <w:sz w:val="32"/>
          <w:szCs w:val="32"/>
        </w:rPr>
      </w:pPr>
      <w:r>
        <w:rPr>
          <w:rFonts w:hint="eastAsia" w:ascii="仿宋" w:hAnsi="仿宋" w:eastAsia="仿宋" w:cs="仿宋"/>
          <w:sz w:val="32"/>
          <w:szCs w:val="32"/>
        </w:rPr>
        <w:t>（1）项目建设时间：2022年12月至202</w:t>
      </w:r>
      <w:r>
        <w:rPr>
          <w:rFonts w:ascii="仿宋" w:hAnsi="仿宋" w:eastAsia="仿宋" w:cs="仿宋"/>
          <w:sz w:val="32"/>
          <w:szCs w:val="32"/>
        </w:rPr>
        <w:t>3</w:t>
      </w:r>
      <w:r>
        <w:rPr>
          <w:rFonts w:hint="eastAsia" w:ascii="仿宋" w:hAnsi="仿宋" w:eastAsia="仿宋" w:cs="仿宋"/>
          <w:sz w:val="32"/>
          <w:szCs w:val="32"/>
        </w:rPr>
        <w:t>年12月。</w:t>
      </w:r>
    </w:p>
    <w:p>
      <w:pPr>
        <w:spacing w:line="640" w:lineRule="exact"/>
        <w:ind w:firstLine="640" w:firstLineChars="200"/>
        <w:rPr>
          <w:rFonts w:ascii="仿宋" w:hAnsi="仿宋" w:eastAsia="仿宋" w:cs="仿宋"/>
          <w:sz w:val="32"/>
          <w:szCs w:val="32"/>
        </w:rPr>
      </w:pPr>
      <w:r>
        <w:rPr>
          <w:rFonts w:hint="eastAsia" w:ascii="仿宋" w:hAnsi="仿宋" w:eastAsia="仿宋" w:cs="仿宋"/>
          <w:sz w:val="32"/>
          <w:szCs w:val="32"/>
        </w:rPr>
        <w:t>（2）2022年12月前期准备阶段，主要包括编制工程实施方案，施工图纸设计，评审，招标等工作；2023年1月至3月为工程施工、设备购置阶段；2023年4月至202</w:t>
      </w:r>
      <w:r>
        <w:rPr>
          <w:rFonts w:ascii="仿宋" w:hAnsi="仿宋" w:eastAsia="仿宋" w:cs="仿宋"/>
          <w:sz w:val="32"/>
          <w:szCs w:val="32"/>
        </w:rPr>
        <w:t>3</w:t>
      </w:r>
      <w:r>
        <w:rPr>
          <w:rFonts w:hint="eastAsia" w:ascii="仿宋" w:hAnsi="仿宋" w:eastAsia="仿宋" w:cs="仿宋"/>
          <w:sz w:val="32"/>
          <w:szCs w:val="32"/>
        </w:rPr>
        <w:t>年11月为工程建设阶段；202</w:t>
      </w:r>
      <w:r>
        <w:rPr>
          <w:rFonts w:ascii="仿宋" w:hAnsi="仿宋" w:eastAsia="仿宋" w:cs="仿宋"/>
          <w:sz w:val="32"/>
          <w:szCs w:val="32"/>
        </w:rPr>
        <w:t>3</w:t>
      </w:r>
      <w:r>
        <w:rPr>
          <w:rFonts w:hint="eastAsia" w:ascii="仿宋" w:hAnsi="仿宋" w:eastAsia="仿宋" w:cs="仿宋"/>
          <w:sz w:val="32"/>
          <w:szCs w:val="32"/>
        </w:rPr>
        <w:t>年12月为项目竣工验收阶段。</w:t>
      </w:r>
    </w:p>
    <w:tbl>
      <w:tblPr>
        <w:tblStyle w:val="14"/>
        <w:tblpPr w:leftFromText="180" w:rightFromText="180" w:vertAnchor="text" w:horzAnchor="page" w:tblpX="1672" w:tblpY="386"/>
        <w:tblOverlap w:val="never"/>
        <w:tblW w:w="89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278"/>
        <w:gridCol w:w="315"/>
        <w:gridCol w:w="330"/>
        <w:gridCol w:w="300"/>
        <w:gridCol w:w="930"/>
        <w:gridCol w:w="810"/>
        <w:gridCol w:w="795"/>
        <w:gridCol w:w="645"/>
        <w:gridCol w:w="645"/>
        <w:gridCol w:w="660"/>
        <w:gridCol w:w="615"/>
        <w:gridCol w:w="645"/>
        <w:gridCol w:w="9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1278" w:type="dxa"/>
            <w:vMerge w:val="restart"/>
            <w:tcBorders>
              <w:tl2br w:val="single" w:color="auto" w:sz="4" w:space="0"/>
            </w:tcBorders>
            <w:shd w:val="clear" w:color="auto" w:fill="FFFFFF"/>
            <w:vAlign w:val="center"/>
          </w:tcPr>
          <w:p>
            <w:pPr>
              <w:pStyle w:val="8"/>
              <w:spacing w:line="600" w:lineRule="exact"/>
              <w:ind w:firstLine="0"/>
              <w:jc w:val="right"/>
              <w:rPr>
                <w:rFonts w:ascii="仿宋_GB2312" w:eastAsia="仿宋_GB2312"/>
                <w:sz w:val="20"/>
              </w:rPr>
            </w:pPr>
            <w:r>
              <w:rPr>
                <w:rFonts w:hint="eastAsia" w:ascii="仿宋_GB2312" w:hAnsi="宋体" w:eastAsia="仿宋_GB2312"/>
                <w:sz w:val="20"/>
              </w:rPr>
              <w:t>时间</w:t>
            </w:r>
          </w:p>
          <w:p>
            <w:pPr>
              <w:pStyle w:val="8"/>
              <w:spacing w:line="600" w:lineRule="exact"/>
              <w:ind w:firstLine="0"/>
              <w:rPr>
                <w:rFonts w:ascii="仿宋_GB2312" w:eastAsia="仿宋_GB2312"/>
                <w:sz w:val="20"/>
              </w:rPr>
            </w:pPr>
            <w:r>
              <w:rPr>
                <w:rFonts w:hint="eastAsia" w:ascii="仿宋_GB2312" w:hAnsi="宋体" w:eastAsia="仿宋_GB2312"/>
                <w:sz w:val="20"/>
              </w:rPr>
              <w:t>项目</w:t>
            </w:r>
          </w:p>
        </w:tc>
        <w:tc>
          <w:tcPr>
            <w:tcW w:w="945" w:type="dxa"/>
            <w:gridSpan w:val="3"/>
            <w:shd w:val="clear" w:color="auto" w:fill="FFFFFF"/>
            <w:vAlign w:val="center"/>
          </w:tcPr>
          <w:p>
            <w:pPr>
              <w:pStyle w:val="8"/>
              <w:spacing w:line="600" w:lineRule="exact"/>
              <w:ind w:firstLine="100" w:firstLineChars="50"/>
              <w:jc w:val="center"/>
              <w:rPr>
                <w:rFonts w:ascii="仿宋_GB2312" w:hAnsi="宋体" w:eastAsia="仿宋_GB2312"/>
                <w:sz w:val="20"/>
              </w:rPr>
            </w:pPr>
            <w:r>
              <w:rPr>
                <w:rFonts w:hint="eastAsia" w:ascii="仿宋_GB2312" w:hAnsi="宋体" w:eastAsia="仿宋_GB2312"/>
                <w:sz w:val="20"/>
              </w:rPr>
              <w:t>2022年</w:t>
            </w:r>
          </w:p>
        </w:tc>
        <w:tc>
          <w:tcPr>
            <w:tcW w:w="5745" w:type="dxa"/>
            <w:gridSpan w:val="8"/>
            <w:shd w:val="clear" w:color="auto" w:fill="FFFFFF"/>
            <w:vAlign w:val="center"/>
          </w:tcPr>
          <w:p>
            <w:pPr>
              <w:pStyle w:val="8"/>
              <w:spacing w:line="600" w:lineRule="exact"/>
              <w:ind w:firstLine="100" w:firstLineChars="50"/>
              <w:jc w:val="center"/>
              <w:rPr>
                <w:rFonts w:ascii="仿宋_GB2312" w:hAnsi="宋体" w:eastAsia="仿宋_GB2312"/>
                <w:sz w:val="20"/>
              </w:rPr>
            </w:pPr>
            <w:r>
              <w:rPr>
                <w:rFonts w:hint="eastAsia" w:ascii="仿宋_GB2312" w:hAnsi="宋体" w:eastAsia="仿宋_GB2312"/>
                <w:sz w:val="20"/>
              </w:rPr>
              <w:t>2023年</w:t>
            </w:r>
          </w:p>
        </w:tc>
        <w:tc>
          <w:tcPr>
            <w:tcW w:w="945" w:type="dxa"/>
            <w:shd w:val="clear" w:color="auto" w:fill="FFFFFF"/>
            <w:vAlign w:val="center"/>
          </w:tcPr>
          <w:p>
            <w:pPr>
              <w:pStyle w:val="8"/>
              <w:spacing w:line="600" w:lineRule="exact"/>
              <w:ind w:firstLine="100" w:firstLineChars="50"/>
              <w:jc w:val="center"/>
              <w:rPr>
                <w:rFonts w:ascii="仿宋_GB2312" w:hAnsi="宋体" w:eastAsia="仿宋_GB2312"/>
                <w:sz w:val="20"/>
              </w:rPr>
            </w:pPr>
            <w:r>
              <w:rPr>
                <w:rFonts w:hint="eastAsia" w:ascii="仿宋_GB2312" w:hAnsi="宋体" w:eastAsia="仿宋_GB2312"/>
                <w:sz w:val="20"/>
              </w:rPr>
              <w:t>202</w:t>
            </w:r>
            <w:r>
              <w:rPr>
                <w:rFonts w:ascii="仿宋_GB2312" w:hAnsi="宋体" w:eastAsia="仿宋_GB2312"/>
                <w:sz w:val="20"/>
              </w:rPr>
              <w:t>3</w:t>
            </w:r>
            <w:r>
              <w:rPr>
                <w:rFonts w:hint="eastAsia" w:ascii="仿宋_GB2312" w:hAnsi="宋体" w:eastAsia="仿宋_GB2312"/>
                <w:sz w:val="20"/>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1278" w:type="dxa"/>
            <w:vMerge w:val="continue"/>
            <w:tcBorders>
              <w:bottom w:val="nil"/>
              <w:tl2br w:val="single" w:color="auto" w:sz="4" w:space="0"/>
            </w:tcBorders>
            <w:shd w:val="clear" w:color="auto" w:fill="FFFFFF"/>
            <w:vAlign w:val="center"/>
          </w:tcPr>
          <w:p>
            <w:pPr>
              <w:pStyle w:val="8"/>
              <w:spacing w:line="600" w:lineRule="exact"/>
              <w:ind w:firstLine="0"/>
              <w:jc w:val="center"/>
              <w:rPr>
                <w:sz w:val="20"/>
              </w:rPr>
            </w:pPr>
          </w:p>
        </w:tc>
        <w:tc>
          <w:tcPr>
            <w:tcW w:w="945" w:type="dxa"/>
            <w:gridSpan w:val="3"/>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12月</w:t>
            </w:r>
          </w:p>
        </w:tc>
        <w:tc>
          <w:tcPr>
            <w:tcW w:w="930"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1、2月</w:t>
            </w:r>
          </w:p>
        </w:tc>
        <w:tc>
          <w:tcPr>
            <w:tcW w:w="810"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3、4月</w:t>
            </w:r>
          </w:p>
        </w:tc>
        <w:tc>
          <w:tcPr>
            <w:tcW w:w="795"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5.6月</w:t>
            </w:r>
          </w:p>
        </w:tc>
        <w:tc>
          <w:tcPr>
            <w:tcW w:w="645"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7月</w:t>
            </w:r>
          </w:p>
        </w:tc>
        <w:tc>
          <w:tcPr>
            <w:tcW w:w="645"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8月</w:t>
            </w:r>
          </w:p>
        </w:tc>
        <w:tc>
          <w:tcPr>
            <w:tcW w:w="660"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9月</w:t>
            </w:r>
          </w:p>
        </w:tc>
        <w:tc>
          <w:tcPr>
            <w:tcW w:w="615"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10月</w:t>
            </w:r>
          </w:p>
        </w:tc>
        <w:tc>
          <w:tcPr>
            <w:tcW w:w="645"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11月</w:t>
            </w:r>
          </w:p>
        </w:tc>
        <w:tc>
          <w:tcPr>
            <w:tcW w:w="945" w:type="dxa"/>
            <w:shd w:val="clear" w:color="auto" w:fill="FFFFFF"/>
            <w:vAlign w:val="center"/>
          </w:tcPr>
          <w:p>
            <w:pPr>
              <w:pStyle w:val="8"/>
              <w:spacing w:line="600" w:lineRule="exact"/>
              <w:ind w:firstLine="0"/>
              <w:jc w:val="center"/>
              <w:rPr>
                <w:rFonts w:ascii="仿宋_GB2312" w:eastAsia="仿宋_GB2312"/>
                <w:sz w:val="16"/>
                <w:szCs w:val="16"/>
              </w:rPr>
            </w:pPr>
            <w:r>
              <w:rPr>
                <w:rFonts w:hint="eastAsia" w:ascii="仿宋_GB2312" w:eastAsia="仿宋_GB2312"/>
                <w:sz w:val="16"/>
                <w:szCs w:val="16"/>
              </w:rPr>
              <w:t>12月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278" w:type="dxa"/>
            <w:shd w:val="clear" w:color="auto" w:fill="FFFFFF"/>
            <w:vAlign w:val="center"/>
          </w:tcPr>
          <w:p>
            <w:pPr>
              <w:pStyle w:val="8"/>
              <w:spacing w:line="600" w:lineRule="exact"/>
              <w:ind w:firstLine="0"/>
              <w:jc w:val="center"/>
              <w:rPr>
                <w:rFonts w:ascii="仿宋_GB2312" w:hAnsi="宋体" w:eastAsia="仿宋_GB2312"/>
                <w:sz w:val="20"/>
              </w:rPr>
            </w:pPr>
            <w:r>
              <w:rPr>
                <w:rFonts w:hint="eastAsia" w:ascii="仿宋_GB2312" w:hAnsi="宋体" w:eastAsia="仿宋_GB2312"/>
                <w:sz w:val="20"/>
              </w:rPr>
              <w:t>前期准备</w:t>
            </w:r>
          </w:p>
        </w:tc>
        <w:tc>
          <w:tcPr>
            <w:tcW w:w="315" w:type="dxa"/>
            <w:tcBorders>
              <w:bottom w:val="single" w:color="auto" w:sz="4" w:space="0"/>
            </w:tcBorders>
            <w:shd w:val="clear" w:color="auto" w:fill="1F497D"/>
            <w:vAlign w:val="center"/>
          </w:tcPr>
          <w:p>
            <w:pPr>
              <w:pStyle w:val="8"/>
              <w:spacing w:line="600" w:lineRule="exact"/>
              <w:ind w:firstLine="0"/>
              <w:rPr>
                <w:rFonts w:ascii="仿宋_GB2312" w:eastAsia="仿宋_GB2312"/>
                <w:sz w:val="10"/>
                <w:szCs w:val="10"/>
                <w:highlight w:val="blue"/>
              </w:rPr>
            </w:pPr>
          </w:p>
        </w:tc>
        <w:tc>
          <w:tcPr>
            <w:tcW w:w="330" w:type="dxa"/>
            <w:tcBorders>
              <w:bottom w:val="single" w:color="auto" w:sz="4" w:space="0"/>
            </w:tcBorders>
            <w:shd w:val="clear" w:color="auto" w:fill="1F497D"/>
            <w:vAlign w:val="center"/>
          </w:tcPr>
          <w:p>
            <w:pPr>
              <w:pStyle w:val="8"/>
              <w:spacing w:line="600" w:lineRule="exact"/>
              <w:ind w:firstLine="0"/>
              <w:rPr>
                <w:rFonts w:ascii="仿宋_GB2312" w:eastAsia="仿宋_GB2312"/>
                <w:sz w:val="10"/>
                <w:szCs w:val="10"/>
                <w:highlight w:val="blue"/>
              </w:rPr>
            </w:pPr>
          </w:p>
        </w:tc>
        <w:tc>
          <w:tcPr>
            <w:tcW w:w="300" w:type="dxa"/>
            <w:tcBorders>
              <w:bottom w:val="single" w:color="auto" w:sz="4" w:space="0"/>
            </w:tcBorders>
            <w:shd w:val="clear" w:color="auto" w:fill="1F497D"/>
            <w:vAlign w:val="center"/>
          </w:tcPr>
          <w:p>
            <w:pPr>
              <w:pStyle w:val="8"/>
              <w:spacing w:line="600" w:lineRule="exact"/>
              <w:ind w:firstLine="0"/>
              <w:rPr>
                <w:rFonts w:ascii="仿宋_GB2312" w:eastAsia="仿宋_GB2312"/>
                <w:sz w:val="10"/>
                <w:szCs w:val="10"/>
              </w:rPr>
            </w:pPr>
          </w:p>
        </w:tc>
        <w:tc>
          <w:tcPr>
            <w:tcW w:w="930" w:type="dxa"/>
            <w:tcBorders>
              <w:bottom w:val="single" w:color="auto" w:sz="4" w:space="0"/>
            </w:tcBorders>
            <w:shd w:val="clear" w:color="auto" w:fill="FFFFFF"/>
            <w:vAlign w:val="center"/>
          </w:tcPr>
          <w:p>
            <w:pPr>
              <w:pStyle w:val="8"/>
              <w:spacing w:line="600" w:lineRule="exact"/>
              <w:ind w:firstLine="0"/>
              <w:rPr>
                <w:rFonts w:ascii="仿宋_GB2312" w:eastAsia="仿宋_GB2312"/>
                <w:sz w:val="10"/>
                <w:szCs w:val="10"/>
              </w:rPr>
            </w:pPr>
          </w:p>
        </w:tc>
        <w:tc>
          <w:tcPr>
            <w:tcW w:w="810" w:type="dxa"/>
            <w:tcBorders>
              <w:bottom w:val="single" w:color="auto" w:sz="4" w:space="0"/>
            </w:tcBorders>
            <w:shd w:val="clear" w:color="auto" w:fill="FFFFFF"/>
            <w:vAlign w:val="center"/>
          </w:tcPr>
          <w:p>
            <w:pPr>
              <w:pStyle w:val="8"/>
              <w:spacing w:line="600" w:lineRule="exact"/>
              <w:ind w:firstLine="0"/>
              <w:rPr>
                <w:rFonts w:ascii="仿宋_GB2312" w:eastAsia="仿宋_GB2312"/>
                <w:sz w:val="10"/>
                <w:szCs w:val="10"/>
              </w:rPr>
            </w:pPr>
          </w:p>
        </w:tc>
        <w:tc>
          <w:tcPr>
            <w:tcW w:w="795" w:type="dxa"/>
            <w:tcBorders>
              <w:bottom w:val="single" w:color="auto" w:sz="4" w:space="0"/>
            </w:tcBorders>
            <w:shd w:val="clear" w:color="auto" w:fill="FFFFFF"/>
            <w:vAlign w:val="center"/>
          </w:tcPr>
          <w:p>
            <w:pPr>
              <w:pStyle w:val="8"/>
              <w:spacing w:line="600" w:lineRule="exact"/>
              <w:ind w:firstLine="0"/>
              <w:rPr>
                <w:rFonts w:ascii="仿宋_GB2312" w:eastAsia="仿宋_GB2312"/>
                <w:sz w:val="10"/>
                <w:szCs w:val="10"/>
              </w:rPr>
            </w:pPr>
          </w:p>
        </w:tc>
        <w:tc>
          <w:tcPr>
            <w:tcW w:w="645" w:type="dxa"/>
            <w:tcBorders>
              <w:bottom w:val="single" w:color="auto" w:sz="4" w:space="0"/>
            </w:tcBorders>
            <w:shd w:val="clear" w:color="auto" w:fill="FFFFFF"/>
            <w:vAlign w:val="center"/>
          </w:tcPr>
          <w:p>
            <w:pPr>
              <w:pStyle w:val="8"/>
              <w:spacing w:line="600" w:lineRule="exact"/>
              <w:ind w:firstLine="0"/>
              <w:rPr>
                <w:rFonts w:ascii="仿宋_GB2312" w:eastAsia="仿宋_GB2312"/>
                <w:sz w:val="10"/>
                <w:szCs w:val="10"/>
              </w:rPr>
            </w:pPr>
          </w:p>
        </w:tc>
        <w:tc>
          <w:tcPr>
            <w:tcW w:w="645" w:type="dxa"/>
            <w:tcBorders>
              <w:bottom w:val="single" w:color="auto" w:sz="4" w:space="0"/>
            </w:tcBorders>
            <w:shd w:val="clear" w:color="auto" w:fill="FFFFFF"/>
            <w:vAlign w:val="center"/>
          </w:tcPr>
          <w:p>
            <w:pPr>
              <w:pStyle w:val="8"/>
              <w:spacing w:line="600" w:lineRule="exact"/>
              <w:ind w:firstLine="0"/>
              <w:rPr>
                <w:rFonts w:ascii="仿宋_GB2312" w:eastAsia="仿宋_GB2312"/>
                <w:sz w:val="10"/>
                <w:szCs w:val="10"/>
              </w:rPr>
            </w:pPr>
          </w:p>
        </w:tc>
        <w:tc>
          <w:tcPr>
            <w:tcW w:w="660" w:type="dxa"/>
            <w:tcBorders>
              <w:bottom w:val="single" w:color="000000" w:sz="4" w:space="0"/>
            </w:tcBorders>
            <w:shd w:val="clear" w:color="auto" w:fill="FFFFFF"/>
            <w:vAlign w:val="center"/>
          </w:tcPr>
          <w:p>
            <w:pPr>
              <w:pStyle w:val="8"/>
              <w:spacing w:line="600" w:lineRule="exact"/>
              <w:ind w:firstLine="0"/>
              <w:rPr>
                <w:rFonts w:ascii="仿宋_GB2312" w:eastAsia="仿宋_GB2312"/>
                <w:sz w:val="10"/>
                <w:szCs w:val="10"/>
              </w:rPr>
            </w:pPr>
          </w:p>
        </w:tc>
        <w:tc>
          <w:tcPr>
            <w:tcW w:w="615" w:type="dxa"/>
            <w:tcBorders>
              <w:bottom w:val="single" w:color="000000" w:sz="4" w:space="0"/>
            </w:tcBorders>
            <w:shd w:val="clear" w:color="auto" w:fill="FFFFFF"/>
            <w:vAlign w:val="center"/>
          </w:tcPr>
          <w:p>
            <w:pPr>
              <w:pStyle w:val="8"/>
              <w:spacing w:line="600" w:lineRule="exact"/>
              <w:ind w:firstLine="0"/>
              <w:rPr>
                <w:rFonts w:ascii="仿宋_GB2312" w:eastAsia="仿宋_GB2312"/>
                <w:sz w:val="10"/>
                <w:szCs w:val="10"/>
              </w:rPr>
            </w:pPr>
          </w:p>
        </w:tc>
        <w:tc>
          <w:tcPr>
            <w:tcW w:w="645" w:type="dxa"/>
            <w:tcBorders>
              <w:bottom w:val="single" w:color="000000" w:sz="4" w:space="0"/>
            </w:tcBorders>
            <w:shd w:val="clear" w:color="auto" w:fill="FFFFFF"/>
            <w:vAlign w:val="center"/>
          </w:tcPr>
          <w:p>
            <w:pPr>
              <w:pStyle w:val="8"/>
              <w:spacing w:line="600" w:lineRule="exact"/>
              <w:ind w:firstLine="0"/>
              <w:rPr>
                <w:rFonts w:ascii="仿宋_GB2312" w:eastAsia="仿宋_GB2312"/>
                <w:sz w:val="10"/>
                <w:szCs w:val="10"/>
              </w:rPr>
            </w:pPr>
          </w:p>
        </w:tc>
        <w:tc>
          <w:tcPr>
            <w:tcW w:w="945" w:type="dxa"/>
            <w:tcBorders>
              <w:bottom w:val="single" w:color="auto" w:sz="4" w:space="0"/>
            </w:tcBorders>
            <w:shd w:val="clear" w:color="auto" w:fill="FFFFFF"/>
            <w:vAlign w:val="center"/>
          </w:tcPr>
          <w:p>
            <w:pPr>
              <w:pStyle w:val="8"/>
              <w:spacing w:line="600" w:lineRule="exact"/>
              <w:ind w:firstLine="0"/>
              <w:rPr>
                <w:rFonts w:ascii="仿宋_GB2312" w:eastAsia="仿宋_GB2312"/>
                <w:sz w:val="10"/>
                <w:szCs w:val="1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1278" w:type="dxa"/>
            <w:shd w:val="clear" w:color="auto" w:fill="FFFFFF"/>
            <w:vAlign w:val="center"/>
          </w:tcPr>
          <w:p>
            <w:pPr>
              <w:pStyle w:val="8"/>
              <w:spacing w:line="600" w:lineRule="exact"/>
              <w:ind w:firstLine="100" w:firstLineChars="50"/>
              <w:jc w:val="center"/>
              <w:rPr>
                <w:rFonts w:ascii="仿宋_GB2312" w:hAnsi="宋体" w:eastAsia="仿宋_GB2312"/>
                <w:sz w:val="20"/>
              </w:rPr>
            </w:pPr>
            <w:r>
              <w:rPr>
                <w:rFonts w:hint="eastAsia" w:ascii="仿宋_GB2312" w:hAnsi="宋体" w:eastAsia="仿宋_GB2312"/>
                <w:sz w:val="20"/>
              </w:rPr>
              <w:t>工程施工</w:t>
            </w:r>
          </w:p>
        </w:tc>
        <w:tc>
          <w:tcPr>
            <w:tcW w:w="315" w:type="dxa"/>
            <w:shd w:val="clear" w:color="auto" w:fill="FFFFFF"/>
            <w:vAlign w:val="center"/>
          </w:tcPr>
          <w:p>
            <w:pPr>
              <w:pStyle w:val="8"/>
              <w:spacing w:line="600" w:lineRule="exact"/>
              <w:ind w:firstLine="0"/>
              <w:rPr>
                <w:rFonts w:ascii="仿宋_GB2312" w:eastAsia="仿宋_GB2312"/>
                <w:sz w:val="10"/>
                <w:szCs w:val="10"/>
              </w:rPr>
            </w:pPr>
          </w:p>
        </w:tc>
        <w:tc>
          <w:tcPr>
            <w:tcW w:w="330" w:type="dxa"/>
            <w:shd w:val="clear" w:color="auto" w:fill="FFFFFF"/>
            <w:vAlign w:val="center"/>
          </w:tcPr>
          <w:p>
            <w:pPr>
              <w:pStyle w:val="8"/>
              <w:spacing w:line="600" w:lineRule="exact"/>
              <w:ind w:firstLine="0"/>
              <w:rPr>
                <w:rFonts w:ascii="仿宋_GB2312" w:eastAsia="仿宋_GB2312"/>
                <w:sz w:val="10"/>
                <w:szCs w:val="10"/>
              </w:rPr>
            </w:pPr>
          </w:p>
        </w:tc>
        <w:tc>
          <w:tcPr>
            <w:tcW w:w="300" w:type="dxa"/>
            <w:shd w:val="clear" w:color="auto" w:fill="auto"/>
            <w:vAlign w:val="center"/>
          </w:tcPr>
          <w:p>
            <w:pPr>
              <w:pStyle w:val="8"/>
              <w:spacing w:line="600" w:lineRule="exact"/>
              <w:ind w:firstLine="0"/>
              <w:rPr>
                <w:rFonts w:ascii="仿宋_GB2312" w:eastAsia="仿宋_GB2312"/>
                <w:b/>
                <w:sz w:val="10"/>
                <w:szCs w:val="10"/>
              </w:rPr>
            </w:pPr>
          </w:p>
        </w:tc>
        <w:tc>
          <w:tcPr>
            <w:tcW w:w="930" w:type="dxa"/>
            <w:shd w:val="clear" w:color="auto" w:fill="1F497D"/>
            <w:vAlign w:val="center"/>
          </w:tcPr>
          <w:p>
            <w:pPr>
              <w:pStyle w:val="8"/>
              <w:spacing w:line="600" w:lineRule="exact"/>
              <w:ind w:firstLine="0"/>
              <w:rPr>
                <w:rFonts w:ascii="仿宋_GB2312" w:eastAsia="仿宋_GB2312"/>
                <w:sz w:val="10"/>
                <w:szCs w:val="10"/>
              </w:rPr>
            </w:pPr>
          </w:p>
        </w:tc>
        <w:tc>
          <w:tcPr>
            <w:tcW w:w="810" w:type="dxa"/>
            <w:shd w:val="clear" w:color="auto" w:fill="1F497D"/>
            <w:vAlign w:val="center"/>
          </w:tcPr>
          <w:p>
            <w:pPr>
              <w:pStyle w:val="8"/>
              <w:spacing w:line="600" w:lineRule="exact"/>
              <w:ind w:firstLine="0"/>
              <w:rPr>
                <w:rFonts w:ascii="仿宋_GB2312" w:eastAsia="仿宋_GB2312"/>
                <w:sz w:val="10"/>
                <w:szCs w:val="10"/>
              </w:rPr>
            </w:pPr>
          </w:p>
        </w:tc>
        <w:tc>
          <w:tcPr>
            <w:tcW w:w="795" w:type="dxa"/>
            <w:shd w:val="clear" w:color="auto" w:fill="1F497D"/>
            <w:vAlign w:val="center"/>
          </w:tcPr>
          <w:p>
            <w:pPr>
              <w:pStyle w:val="8"/>
              <w:spacing w:line="600" w:lineRule="exact"/>
              <w:ind w:firstLine="0"/>
              <w:rPr>
                <w:rFonts w:ascii="仿宋_GB2312" w:eastAsia="仿宋_GB2312"/>
                <w:sz w:val="10"/>
                <w:szCs w:val="10"/>
              </w:rPr>
            </w:pPr>
          </w:p>
        </w:tc>
        <w:tc>
          <w:tcPr>
            <w:tcW w:w="645" w:type="dxa"/>
            <w:shd w:val="clear" w:color="auto" w:fill="1F497D"/>
            <w:vAlign w:val="center"/>
          </w:tcPr>
          <w:p>
            <w:pPr>
              <w:pStyle w:val="8"/>
              <w:spacing w:line="600" w:lineRule="exact"/>
              <w:ind w:firstLine="0"/>
              <w:rPr>
                <w:rFonts w:ascii="仿宋_GB2312" w:eastAsia="仿宋_GB2312"/>
                <w:sz w:val="10"/>
                <w:szCs w:val="10"/>
              </w:rPr>
            </w:pPr>
          </w:p>
        </w:tc>
        <w:tc>
          <w:tcPr>
            <w:tcW w:w="645" w:type="dxa"/>
            <w:tcBorders>
              <w:right w:val="single" w:color="000000" w:sz="4" w:space="0"/>
            </w:tcBorders>
            <w:shd w:val="clear" w:color="auto" w:fill="1F497D"/>
            <w:vAlign w:val="center"/>
          </w:tcPr>
          <w:p>
            <w:pPr>
              <w:pStyle w:val="8"/>
              <w:spacing w:line="600" w:lineRule="exact"/>
              <w:ind w:firstLine="0"/>
              <w:rPr>
                <w:rFonts w:ascii="仿宋_GB2312" w:eastAsia="仿宋_GB2312"/>
                <w:sz w:val="10"/>
                <w:szCs w:val="10"/>
              </w:rPr>
            </w:pPr>
          </w:p>
        </w:tc>
        <w:tc>
          <w:tcPr>
            <w:tcW w:w="660" w:type="dxa"/>
            <w:tcBorders>
              <w:top w:val="single" w:color="000000" w:sz="4" w:space="0"/>
              <w:left w:val="single" w:color="000000" w:sz="4" w:space="0"/>
              <w:bottom w:val="single" w:color="000000" w:sz="4" w:space="0"/>
              <w:right w:val="single" w:color="000000" w:sz="4" w:space="0"/>
            </w:tcBorders>
            <w:shd w:val="clear" w:color="auto" w:fill="1F497D"/>
            <w:vAlign w:val="center"/>
          </w:tcPr>
          <w:p>
            <w:pPr>
              <w:pStyle w:val="8"/>
              <w:spacing w:line="600" w:lineRule="exact"/>
              <w:ind w:firstLine="0"/>
              <w:rPr>
                <w:rFonts w:ascii="仿宋_GB2312" w:eastAsia="仿宋_GB2312"/>
                <w:sz w:val="10"/>
                <w:szCs w:val="10"/>
              </w:rPr>
            </w:pPr>
          </w:p>
        </w:tc>
        <w:tc>
          <w:tcPr>
            <w:tcW w:w="615" w:type="dxa"/>
            <w:tcBorders>
              <w:top w:val="single" w:color="000000" w:sz="4" w:space="0"/>
              <w:left w:val="single" w:color="000000" w:sz="4" w:space="0"/>
              <w:bottom w:val="single" w:color="000000" w:sz="4" w:space="0"/>
              <w:right w:val="single" w:color="000000" w:sz="4" w:space="0"/>
            </w:tcBorders>
            <w:shd w:val="clear" w:color="auto" w:fill="1E4D78" w:themeFill="accent1" w:themeFillShade="7F"/>
            <w:vAlign w:val="center"/>
          </w:tcPr>
          <w:p>
            <w:pPr>
              <w:pStyle w:val="8"/>
              <w:spacing w:line="600" w:lineRule="exact"/>
              <w:ind w:firstLine="0"/>
              <w:rPr>
                <w:rFonts w:ascii="仿宋_GB2312" w:eastAsia="仿宋_GB2312"/>
                <w:sz w:val="10"/>
                <w:szCs w:val="10"/>
              </w:rPr>
            </w:pPr>
          </w:p>
        </w:tc>
        <w:tc>
          <w:tcPr>
            <w:tcW w:w="645" w:type="dxa"/>
            <w:tcBorders>
              <w:top w:val="single" w:color="000000" w:sz="4" w:space="0"/>
              <w:left w:val="single" w:color="000000" w:sz="4" w:space="0"/>
              <w:bottom w:val="single" w:color="000000" w:sz="4" w:space="0"/>
              <w:right w:val="single" w:color="000000" w:sz="4" w:space="0"/>
            </w:tcBorders>
            <w:shd w:val="clear" w:color="auto" w:fill="1E4D78" w:themeFill="accent1" w:themeFillShade="7F"/>
            <w:vAlign w:val="center"/>
          </w:tcPr>
          <w:p>
            <w:pPr>
              <w:pStyle w:val="8"/>
              <w:spacing w:line="600" w:lineRule="exact"/>
              <w:ind w:firstLine="0"/>
              <w:rPr>
                <w:rFonts w:ascii="仿宋_GB2312" w:hAnsi="宋体" w:eastAsia="仿宋_GB2312"/>
                <w:sz w:val="10"/>
                <w:szCs w:val="10"/>
              </w:rPr>
            </w:pPr>
          </w:p>
        </w:tc>
        <w:tc>
          <w:tcPr>
            <w:tcW w:w="945" w:type="dxa"/>
            <w:tcBorders>
              <w:left w:val="single" w:color="000000" w:sz="4" w:space="0"/>
            </w:tcBorders>
            <w:shd w:val="clear" w:color="auto" w:fill="FFFFFF"/>
            <w:vAlign w:val="center"/>
          </w:tcPr>
          <w:p>
            <w:pPr>
              <w:pStyle w:val="8"/>
              <w:spacing w:line="600" w:lineRule="exact"/>
              <w:ind w:firstLine="0"/>
              <w:rPr>
                <w:rFonts w:ascii="仿宋_GB2312" w:eastAsia="仿宋_GB2312"/>
                <w:sz w:val="10"/>
                <w:szCs w:val="1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1278" w:type="dxa"/>
            <w:shd w:val="clear" w:color="auto" w:fill="FFFFFF"/>
            <w:vAlign w:val="center"/>
          </w:tcPr>
          <w:p>
            <w:pPr>
              <w:pStyle w:val="8"/>
              <w:spacing w:line="600" w:lineRule="exact"/>
              <w:ind w:firstLine="0"/>
              <w:jc w:val="center"/>
              <w:rPr>
                <w:rFonts w:ascii="仿宋_GB2312" w:hAnsi="宋体" w:eastAsia="仿宋_GB2312"/>
                <w:sz w:val="20"/>
              </w:rPr>
            </w:pPr>
            <w:r>
              <w:rPr>
                <w:rFonts w:hint="eastAsia" w:ascii="仿宋_GB2312" w:hAnsi="宋体" w:eastAsia="仿宋_GB2312"/>
                <w:sz w:val="20"/>
              </w:rPr>
              <w:t>竣工验收</w:t>
            </w:r>
          </w:p>
        </w:tc>
        <w:tc>
          <w:tcPr>
            <w:tcW w:w="315" w:type="dxa"/>
            <w:shd w:val="clear" w:color="auto" w:fill="FFFFFF"/>
            <w:vAlign w:val="center"/>
          </w:tcPr>
          <w:p>
            <w:pPr>
              <w:pStyle w:val="8"/>
              <w:spacing w:line="600" w:lineRule="exact"/>
              <w:ind w:firstLine="0"/>
              <w:rPr>
                <w:rFonts w:ascii="仿宋_GB2312" w:hAnsi="宋体" w:eastAsia="仿宋_GB2312"/>
                <w:sz w:val="10"/>
                <w:szCs w:val="10"/>
              </w:rPr>
            </w:pPr>
          </w:p>
        </w:tc>
        <w:tc>
          <w:tcPr>
            <w:tcW w:w="330" w:type="dxa"/>
            <w:shd w:val="clear" w:color="auto" w:fill="FFFFFF"/>
            <w:vAlign w:val="center"/>
          </w:tcPr>
          <w:p>
            <w:pPr>
              <w:pStyle w:val="8"/>
              <w:spacing w:line="600" w:lineRule="exact"/>
              <w:ind w:firstLine="0"/>
              <w:rPr>
                <w:rFonts w:ascii="仿宋_GB2312" w:hAnsi="宋体" w:eastAsia="仿宋_GB2312"/>
                <w:sz w:val="10"/>
                <w:szCs w:val="10"/>
              </w:rPr>
            </w:pPr>
          </w:p>
        </w:tc>
        <w:tc>
          <w:tcPr>
            <w:tcW w:w="300" w:type="dxa"/>
            <w:shd w:val="clear" w:color="auto" w:fill="FFFFFF"/>
            <w:vAlign w:val="center"/>
          </w:tcPr>
          <w:p>
            <w:pPr>
              <w:pStyle w:val="8"/>
              <w:spacing w:line="600" w:lineRule="exact"/>
              <w:ind w:firstLine="0"/>
              <w:rPr>
                <w:rFonts w:ascii="仿宋_GB2312" w:hAnsi="宋体" w:eastAsia="仿宋_GB2312"/>
                <w:sz w:val="10"/>
                <w:szCs w:val="10"/>
              </w:rPr>
            </w:pPr>
          </w:p>
        </w:tc>
        <w:tc>
          <w:tcPr>
            <w:tcW w:w="930" w:type="dxa"/>
            <w:shd w:val="clear" w:color="auto" w:fill="FFFFFF"/>
            <w:vAlign w:val="center"/>
          </w:tcPr>
          <w:p>
            <w:pPr>
              <w:pStyle w:val="8"/>
              <w:spacing w:line="600" w:lineRule="exact"/>
              <w:ind w:firstLine="0"/>
              <w:rPr>
                <w:rFonts w:ascii="仿宋_GB2312" w:hAnsi="宋体" w:eastAsia="仿宋_GB2312"/>
                <w:sz w:val="10"/>
                <w:szCs w:val="10"/>
              </w:rPr>
            </w:pPr>
          </w:p>
        </w:tc>
        <w:tc>
          <w:tcPr>
            <w:tcW w:w="810" w:type="dxa"/>
            <w:shd w:val="clear" w:color="auto" w:fill="FFFFFF"/>
            <w:vAlign w:val="center"/>
          </w:tcPr>
          <w:p>
            <w:pPr>
              <w:pStyle w:val="8"/>
              <w:spacing w:line="600" w:lineRule="exact"/>
              <w:ind w:firstLine="0"/>
              <w:rPr>
                <w:rFonts w:ascii="仿宋_GB2312" w:hAnsi="宋体" w:eastAsia="仿宋_GB2312"/>
                <w:sz w:val="10"/>
                <w:szCs w:val="10"/>
              </w:rPr>
            </w:pPr>
          </w:p>
        </w:tc>
        <w:tc>
          <w:tcPr>
            <w:tcW w:w="795" w:type="dxa"/>
            <w:shd w:val="clear" w:color="auto" w:fill="FFFFFF"/>
            <w:vAlign w:val="center"/>
          </w:tcPr>
          <w:p>
            <w:pPr>
              <w:pStyle w:val="8"/>
              <w:spacing w:line="600" w:lineRule="exact"/>
              <w:ind w:firstLine="0"/>
              <w:rPr>
                <w:rFonts w:ascii="仿宋_GB2312" w:hAnsi="宋体" w:eastAsia="仿宋_GB2312"/>
                <w:sz w:val="10"/>
                <w:szCs w:val="10"/>
              </w:rPr>
            </w:pPr>
          </w:p>
        </w:tc>
        <w:tc>
          <w:tcPr>
            <w:tcW w:w="645" w:type="dxa"/>
            <w:shd w:val="clear" w:color="auto" w:fill="FFFFFF"/>
            <w:vAlign w:val="center"/>
          </w:tcPr>
          <w:p>
            <w:pPr>
              <w:pStyle w:val="8"/>
              <w:spacing w:line="600" w:lineRule="exact"/>
              <w:ind w:firstLine="0"/>
              <w:rPr>
                <w:rFonts w:ascii="仿宋_GB2312" w:hAnsi="宋体" w:eastAsia="仿宋_GB2312"/>
                <w:sz w:val="10"/>
                <w:szCs w:val="10"/>
              </w:rPr>
            </w:pPr>
          </w:p>
        </w:tc>
        <w:tc>
          <w:tcPr>
            <w:tcW w:w="645" w:type="dxa"/>
            <w:tcBorders>
              <w:right w:val="single" w:color="000000" w:sz="4" w:space="0"/>
            </w:tcBorders>
            <w:shd w:val="clear" w:color="auto" w:fill="FFFFFF"/>
            <w:vAlign w:val="center"/>
          </w:tcPr>
          <w:p>
            <w:pPr>
              <w:pStyle w:val="8"/>
              <w:spacing w:line="600" w:lineRule="exact"/>
              <w:ind w:firstLine="0"/>
              <w:rPr>
                <w:rFonts w:ascii="仿宋_GB2312" w:hAnsi="宋体" w:eastAsia="仿宋_GB2312"/>
                <w:sz w:val="10"/>
                <w:szCs w:val="10"/>
              </w:rPr>
            </w:pPr>
          </w:p>
        </w:tc>
        <w:tc>
          <w:tcPr>
            <w:tcW w:w="660" w:type="dxa"/>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8"/>
              <w:spacing w:line="600" w:lineRule="exact"/>
              <w:ind w:firstLine="0"/>
              <w:rPr>
                <w:rFonts w:ascii="仿宋_GB2312" w:eastAsia="仿宋_GB2312"/>
                <w:sz w:val="10"/>
                <w:szCs w:val="10"/>
              </w:rPr>
            </w:pPr>
          </w:p>
        </w:tc>
        <w:tc>
          <w:tcPr>
            <w:tcW w:w="61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pStyle w:val="8"/>
              <w:spacing w:line="600" w:lineRule="exact"/>
              <w:ind w:firstLine="0"/>
              <w:rPr>
                <w:rFonts w:ascii="仿宋_GB2312" w:eastAsia="仿宋_GB2312"/>
                <w:sz w:val="10"/>
                <w:szCs w:val="10"/>
              </w:rPr>
            </w:pPr>
          </w:p>
        </w:tc>
        <w:tc>
          <w:tcPr>
            <w:tcW w:w="645" w:type="dxa"/>
            <w:tcBorders>
              <w:top w:val="single" w:color="000000" w:sz="4" w:space="0"/>
              <w:left w:val="single" w:color="000000" w:sz="4" w:space="0"/>
              <w:bottom w:val="single" w:color="000000" w:sz="4" w:space="0"/>
              <w:right w:val="single" w:color="000000" w:sz="4" w:space="0"/>
            </w:tcBorders>
            <w:shd w:val="clear" w:color="auto" w:fill="FFFFFF" w:themeFill="background1"/>
            <w:vAlign w:val="center"/>
          </w:tcPr>
          <w:p>
            <w:pPr>
              <w:pStyle w:val="8"/>
              <w:spacing w:line="600" w:lineRule="exact"/>
              <w:ind w:firstLine="0"/>
              <w:rPr>
                <w:rFonts w:ascii="仿宋_GB2312" w:hAnsi="宋体" w:eastAsia="仿宋_GB2312"/>
                <w:sz w:val="10"/>
                <w:szCs w:val="10"/>
              </w:rPr>
            </w:pPr>
          </w:p>
        </w:tc>
        <w:tc>
          <w:tcPr>
            <w:tcW w:w="945" w:type="dxa"/>
            <w:tcBorders>
              <w:left w:val="single" w:color="000000" w:sz="4" w:space="0"/>
            </w:tcBorders>
            <w:shd w:val="clear" w:color="auto" w:fill="1F497D"/>
            <w:vAlign w:val="center"/>
          </w:tcPr>
          <w:p>
            <w:pPr>
              <w:pStyle w:val="8"/>
              <w:spacing w:line="600" w:lineRule="exact"/>
              <w:ind w:firstLine="0"/>
              <w:rPr>
                <w:rFonts w:ascii="仿宋_GB2312" w:hAnsi="宋体" w:eastAsia="仿宋_GB2312"/>
                <w:sz w:val="10"/>
                <w:szCs w:val="10"/>
              </w:rPr>
            </w:pPr>
          </w:p>
        </w:tc>
      </w:tr>
    </w:tbl>
    <w:p>
      <w:pPr>
        <w:rPr>
          <w:rFonts w:ascii="黑体" w:hAnsi="黑体" w:eastAsia="黑体" w:cs="黑体"/>
          <w:color w:val="FF0000"/>
          <w:sz w:val="32"/>
          <w:szCs w:val="32"/>
        </w:rPr>
      </w:pPr>
    </w:p>
    <w:p>
      <w:pPr>
        <w:pStyle w:val="4"/>
      </w:pPr>
      <w:bookmarkStart w:id="57" w:name="_Toc16671"/>
      <w:r>
        <w:rPr>
          <w:rFonts w:hint="eastAsia"/>
        </w:rPr>
        <w:t>第四章  投资概算与资金筹措</w:t>
      </w:r>
      <w:bookmarkEnd w:id="57"/>
    </w:p>
    <w:p>
      <w:pPr>
        <w:pStyle w:val="5"/>
        <w:spacing w:line="581" w:lineRule="exact"/>
      </w:pPr>
      <w:bookmarkStart w:id="58" w:name="_Toc16502"/>
      <w:r>
        <w:rPr>
          <w:rFonts w:hint="eastAsia"/>
        </w:rPr>
        <w:t>4.1投资概算依据</w:t>
      </w:r>
      <w:bookmarkEnd w:id="58"/>
    </w:p>
    <w:p>
      <w:pPr>
        <w:pStyle w:val="13"/>
        <w:widowControl/>
        <w:spacing w:before="0" w:beforeAutospacing="0" w:after="0" w:afterAutospacing="0" w:line="600" w:lineRule="exact"/>
        <w:ind w:firstLine="640" w:firstLineChars="200"/>
        <w:rPr>
          <w:rFonts w:ascii="仿宋_GB2312" w:eastAsia="仿宋_GB2312" w:cstheme="minorBidi"/>
          <w:kern w:val="2"/>
          <w:sz w:val="32"/>
          <w:szCs w:val="32"/>
        </w:rPr>
      </w:pPr>
      <w:r>
        <w:rPr>
          <w:rFonts w:hint="eastAsia" w:ascii="仿宋_GB2312" w:eastAsia="仿宋_GB2312" w:cstheme="minorBidi"/>
          <w:kern w:val="2"/>
          <w:sz w:val="32"/>
          <w:szCs w:val="32"/>
        </w:rPr>
        <w:t>本概算是参照当地种植苍术价格及2012年《河北省建筑工程消耗量定额》、2012年《河北省装饰工程消耗量定额》、2012年《河北省安装工程消耗量定额》、《GB50500-2013建设工程工程量清单计价规范》及相应取费标准；材料价格执行2021年6月份《承德市造价信息》承德市材料指导价及市场询价进行调整；人工费依据2021年上半年综合用工指导价承德市调整《河北省建筑与装饰工程计价定额》(2016版)规定执行。</w:t>
      </w:r>
    </w:p>
    <w:p>
      <w:pPr>
        <w:pStyle w:val="5"/>
        <w:spacing w:line="581" w:lineRule="exact"/>
      </w:pPr>
      <w:bookmarkStart w:id="59" w:name="_Toc3934"/>
      <w:r>
        <w:rPr>
          <w:rFonts w:hint="eastAsia"/>
        </w:rPr>
        <w:t>4.2概算内容及资金使用</w:t>
      </w:r>
      <w:bookmarkEnd w:id="59"/>
    </w:p>
    <w:p>
      <w:pPr>
        <w:ind w:firstLine="640" w:firstLineChars="200"/>
        <w:rPr>
          <w:rFonts w:ascii="仿宋_GB2312" w:eastAsia="仿宋_GB2312"/>
          <w:sz w:val="32"/>
          <w:szCs w:val="32"/>
        </w:rPr>
      </w:pPr>
      <w:r>
        <w:rPr>
          <w:rFonts w:hint="eastAsia" w:ascii="仿宋_GB2312" w:eastAsia="仿宋_GB2312"/>
          <w:sz w:val="32"/>
          <w:szCs w:val="32"/>
        </w:rPr>
        <w:t>经测算，项目建设总投资328万元。其中林下种植苍术费用198万元，改建生产管护用房73万元，辅助设施用电线路57万元，具体详见投资预算表。</w:t>
      </w:r>
    </w:p>
    <w:p>
      <w:pPr>
        <w:pStyle w:val="5"/>
        <w:rPr>
          <w:rFonts w:ascii="仿宋_GB2312" w:eastAsia="仿宋_GB2312"/>
        </w:rPr>
      </w:pPr>
      <w:bookmarkStart w:id="60" w:name="_Toc29004"/>
      <w:r>
        <w:rPr>
          <w:rFonts w:hint="eastAsia"/>
        </w:rPr>
        <w:t>4.3资金筹措</w:t>
      </w:r>
      <w:bookmarkEnd w:id="60"/>
    </w:p>
    <w:p>
      <w:pPr>
        <w:ind w:firstLine="640" w:firstLineChars="200"/>
        <w:rPr>
          <w:rFonts w:eastAsia="仿宋_GB2312"/>
        </w:rPr>
      </w:pPr>
      <w:r>
        <w:rPr>
          <w:rFonts w:hint="eastAsia" w:ascii="仿宋_GB2312" w:eastAsia="仿宋_GB2312"/>
          <w:sz w:val="32"/>
          <w:szCs w:val="32"/>
        </w:rPr>
        <w:t>项目建设总投资328万元，全部为</w:t>
      </w:r>
      <w:r>
        <w:rPr>
          <w:rFonts w:hint="eastAsia" w:ascii="仿宋" w:hAnsi="仿宋" w:eastAsia="仿宋" w:cs="仿宋"/>
          <w:bCs/>
          <w:sz w:val="32"/>
          <w:szCs w:val="32"/>
        </w:rPr>
        <w:t>中央财政投资</w:t>
      </w:r>
      <w:r>
        <w:rPr>
          <w:rFonts w:hint="eastAsia" w:ascii="仿宋_GB2312" w:eastAsia="仿宋_GB2312"/>
          <w:sz w:val="32"/>
          <w:szCs w:val="32"/>
        </w:rPr>
        <w:t>。</w:t>
      </w:r>
    </w:p>
    <w:p>
      <w:pPr>
        <w:pStyle w:val="5"/>
        <w:rPr>
          <w:rFonts w:ascii="仿宋_GB2312" w:eastAsia="仿宋"/>
        </w:rPr>
      </w:pPr>
      <w:bookmarkStart w:id="61" w:name="_Toc32580"/>
      <w:r>
        <w:rPr>
          <w:rFonts w:hint="eastAsia"/>
        </w:rPr>
        <w:t>4.4资金管理</w:t>
      </w:r>
      <w:bookmarkEnd w:id="61"/>
    </w:p>
    <w:p>
      <w:pPr>
        <w:ind w:firstLine="640" w:firstLineChars="200"/>
        <w:rPr>
          <w:rFonts w:ascii="仿宋_GB2312" w:eastAsia="仿宋_GB2312"/>
          <w:sz w:val="32"/>
          <w:szCs w:val="32"/>
        </w:rPr>
      </w:pPr>
      <w:r>
        <w:rPr>
          <w:rFonts w:hint="eastAsia" w:ascii="仿宋_GB2312" w:eastAsia="仿宋_GB2312"/>
          <w:sz w:val="32"/>
          <w:szCs w:val="32"/>
        </w:rPr>
        <w:t>规划资金支付进度，第一季度30%，第二季度50%，第三季度80%，第四季度100%。严格按照《中央财政衔接推进乡村振兴补助资金管理办法》 （财农〔2021〕19号）和《河北省财政衔接推进乡村振兴补助资金管理办法》（冀财农〔2021〕26号）等制度要求，切实管好用好资金，充分发挥资金效益。严格执行公告公示制度，切实保障好群众的知情权、监督权。规范和加强资金使用管理，建立健全激励和约束机制，提高财政资金使用效益。加强项目绩效管理，按照项目资金使用管理有关规定，制定项目资金使用计划，在严格项目管理程序的同时，严格项目资金的计划管理，以保证建设项目有条不紊的顺利实施，同时保证项目资金足额投入。</w:t>
      </w:r>
    </w:p>
    <w:p>
      <w:pPr>
        <w:ind w:firstLine="640" w:firstLineChars="200"/>
        <w:rPr>
          <w:rFonts w:ascii="黑体" w:hAnsi="黑体" w:eastAsia="黑体" w:cs="黑体"/>
          <w:sz w:val="32"/>
          <w:szCs w:val="32"/>
        </w:rPr>
      </w:pPr>
      <w:r>
        <w:rPr>
          <w:rFonts w:hint="eastAsia" w:ascii="仿宋_GB2312" w:eastAsia="仿宋_GB2312"/>
          <w:sz w:val="32"/>
          <w:szCs w:val="32"/>
        </w:rPr>
        <w:t>项目资金实行单独核算，严格做到“专款专用”和厉行节约，切实按项目建设内容用足用好各项资金，不属于项目范围的费用，一律不得支付，</w:t>
      </w:r>
      <w:r>
        <w:rPr>
          <w:rFonts w:hint="eastAsia" w:ascii="仿宋_GB2312" w:eastAsia="仿宋_GB2312"/>
          <w:sz w:val="32"/>
          <w:szCs w:val="32"/>
          <w:lang w:eastAsia="zh-CN"/>
        </w:rPr>
        <w:t>杜绝</w:t>
      </w:r>
      <w:r>
        <w:rPr>
          <w:rFonts w:hint="eastAsia" w:ascii="仿宋_GB2312" w:eastAsia="仿宋_GB2312"/>
          <w:sz w:val="32"/>
          <w:szCs w:val="32"/>
        </w:rPr>
        <w:t>挪用、挤占项目建设资金的现象发生。</w:t>
      </w:r>
    </w:p>
    <w:p>
      <w:pPr>
        <w:pStyle w:val="4"/>
      </w:pPr>
      <w:bookmarkStart w:id="62" w:name="_Toc6915"/>
      <w:r>
        <w:rPr>
          <w:rFonts w:hint="eastAsia"/>
        </w:rPr>
        <w:t>第五章  效益分析及绩效目标</w:t>
      </w:r>
      <w:bookmarkEnd w:id="62"/>
    </w:p>
    <w:p>
      <w:pPr>
        <w:pStyle w:val="5"/>
        <w:rPr>
          <w:rFonts w:ascii="仿宋_GB2312" w:eastAsia="仿宋_GB2312"/>
        </w:rPr>
      </w:pPr>
      <w:bookmarkStart w:id="63" w:name="_Toc5123"/>
      <w:r>
        <w:rPr>
          <w:rFonts w:hint="eastAsia"/>
        </w:rPr>
        <w:t>5.1生态效益分析</w:t>
      </w:r>
      <w:bookmarkEnd w:id="63"/>
    </w:p>
    <w:p>
      <w:pPr>
        <w:spacing w:line="600" w:lineRule="exact"/>
        <w:ind w:firstLine="640" w:firstLineChars="200"/>
        <w:rPr>
          <w:rFonts w:ascii="仿宋" w:hAnsi="仿宋" w:eastAsia="仿宋" w:cs="仿宋_GB2312"/>
          <w:sz w:val="32"/>
          <w:szCs w:val="32"/>
        </w:rPr>
      </w:pPr>
      <w:r>
        <w:rPr>
          <w:rFonts w:hint="eastAsia" w:ascii="仿宋" w:hAnsi="仿宋" w:eastAsia="仿宋" w:cs="仿宋_GB2312"/>
          <w:sz w:val="32"/>
          <w:szCs w:val="32"/>
        </w:rPr>
        <w:t>结合良种基地建设，发展林下种植药材，可增加施工区的植被覆盖度，有利于保持水土，减少水土流失。种植药材时，采取高垄、畦床等工程措施，可以改变作业区小地形，有效截流降水，减少水土流失。因此，种植药材不影响原有森林发挥生态效益。</w:t>
      </w:r>
    </w:p>
    <w:p>
      <w:pPr>
        <w:pStyle w:val="5"/>
        <w:rPr>
          <w:rFonts w:ascii="仿宋_GB2312" w:eastAsia="仿宋_GB2312"/>
        </w:rPr>
      </w:pPr>
      <w:bookmarkStart w:id="64" w:name="_Toc11446"/>
      <w:r>
        <w:rPr>
          <w:rFonts w:hint="eastAsia"/>
        </w:rPr>
        <w:t>5.2社会效益分析</w:t>
      </w:r>
      <w:bookmarkEnd w:id="64"/>
    </w:p>
    <w:p>
      <w:pPr>
        <w:spacing w:line="600" w:lineRule="exact"/>
        <w:ind w:firstLine="640" w:firstLineChars="200"/>
        <w:rPr>
          <w:rFonts w:ascii="仿宋" w:hAnsi="仿宋" w:eastAsia="仿宋" w:cs="仿宋_GB2312"/>
          <w:sz w:val="32"/>
          <w:szCs w:val="32"/>
        </w:rPr>
      </w:pPr>
      <w:r>
        <w:rPr>
          <w:rFonts w:hint="eastAsia" w:ascii="仿宋" w:hAnsi="仿宋" w:eastAsia="仿宋" w:cs="仿宋_GB2312"/>
          <w:sz w:val="32"/>
          <w:szCs w:val="32"/>
        </w:rPr>
        <w:t>第一是脱贫致富的好模式，林下经济周期短、投资少、见效快，脱贫快，致富快。第二是转移农村劳动力，扩大就业门路。一般1亩林下经济要用工5人左右，可消耗大量的富余劳动力。第三是以短养长，有利于林业可持续发展，有效地解决林业收益周期过长的弊端，提高了土地产出效益，实现了长短结合，优势互补。第四是给社会提供丰富多样的林副产品，对满足市场需求和人们的美好愿望具有重大意义。</w:t>
      </w:r>
    </w:p>
    <w:p>
      <w:pPr>
        <w:pStyle w:val="5"/>
      </w:pPr>
      <w:bookmarkStart w:id="65" w:name="_Toc24119"/>
      <w:r>
        <w:rPr>
          <w:rFonts w:hint="eastAsia"/>
        </w:rPr>
        <w:t>5.3经济效益分析</w:t>
      </w:r>
      <w:bookmarkEnd w:id="65"/>
    </w:p>
    <w:p>
      <w:pPr>
        <w:pStyle w:val="2"/>
        <w:spacing w:line="560" w:lineRule="exact"/>
        <w:ind w:firstLine="640" w:firstLineChars="200"/>
        <w:rPr>
          <w:rFonts w:ascii="仿宋" w:hAnsi="仿宋" w:eastAsia="仿宋" w:cs="仿宋_GB2312"/>
          <w:szCs w:val="32"/>
        </w:rPr>
      </w:pPr>
      <w:r>
        <w:rPr>
          <w:rFonts w:hint="eastAsia" w:ascii="仿宋" w:hAnsi="仿宋" w:eastAsia="仿宋" w:cs="仿宋_GB2312"/>
          <w:szCs w:val="32"/>
        </w:rPr>
        <w:t>以林为主,良种培育与林下种植有机结合的循环发展模式,既可以提高林地综合利用效率和经营效率,促进林业可持续发展,又达到近期得利、长期得林的良性增收效果,实现生态效益和经济效益双赢,推动经济持续快速健康发展。该项目的实施将为项目区周边农民创造大量的劳动就业岗位，极大地改善了因疫情而导致的农民工就业难问题，增加经济收入，有利于社会稳定。工程的建设为改善区域经济、社会发展将起到积极的带动作用，促进当地服务业、增加农民收入，改善林区群众的生活质量。按照现行市场药材行情，每亩产出干品200公斤，每公斤按60元计算，亩收益1.2万元，500亩林下种植苍术收益600万元，投资328万元，三年后纯收益272万元。</w:t>
      </w:r>
    </w:p>
    <w:p>
      <w:pPr>
        <w:pStyle w:val="4"/>
      </w:pPr>
      <w:bookmarkStart w:id="66" w:name="_Toc727"/>
      <w:r>
        <w:rPr>
          <w:rFonts w:hint="eastAsia"/>
        </w:rPr>
        <w:t>第六章 项目运行保障</w:t>
      </w:r>
      <w:bookmarkEnd w:id="66"/>
    </w:p>
    <w:p>
      <w:pPr>
        <w:pStyle w:val="5"/>
      </w:pPr>
      <w:bookmarkStart w:id="67" w:name="_Toc9666"/>
      <w:r>
        <w:rPr>
          <w:rFonts w:hint="eastAsia"/>
        </w:rPr>
        <w:t>6.1工程管理</w:t>
      </w:r>
      <w:bookmarkEnd w:id="67"/>
    </w:p>
    <w:p>
      <w:pPr>
        <w:spacing w:line="570" w:lineRule="exact"/>
        <w:rPr>
          <w:rFonts w:ascii="仿宋" w:hAnsi="仿宋" w:eastAsia="仿宋" w:cs="仿宋"/>
          <w:b/>
          <w:bCs/>
          <w:sz w:val="32"/>
          <w:szCs w:val="32"/>
        </w:rPr>
      </w:pPr>
      <w:r>
        <w:rPr>
          <w:rFonts w:hint="eastAsia" w:ascii="仿宋_GB2312" w:eastAsia="仿宋_GB2312"/>
          <w:b/>
          <w:bCs/>
          <w:sz w:val="32"/>
          <w:szCs w:val="32"/>
        </w:rPr>
        <w:t>6.1.1</w:t>
      </w:r>
      <w:r>
        <w:rPr>
          <w:rFonts w:hint="eastAsia" w:ascii="仿宋" w:hAnsi="仿宋" w:eastAsia="仿宋" w:cs="仿宋"/>
          <w:b/>
          <w:bCs/>
          <w:sz w:val="32"/>
          <w:szCs w:val="32"/>
        </w:rPr>
        <w:t>组织领导及人员分工</w:t>
      </w:r>
    </w:p>
    <w:p>
      <w:pPr>
        <w:ind w:firstLine="640" w:firstLineChars="200"/>
        <w:rPr>
          <w:rFonts w:ascii="仿宋_GB2312" w:eastAsia="仿宋_GB2312"/>
          <w:sz w:val="32"/>
          <w:szCs w:val="32"/>
        </w:rPr>
      </w:pPr>
      <w:r>
        <w:rPr>
          <w:rFonts w:hint="eastAsia" w:ascii="仿宋_GB2312" w:eastAsia="仿宋_GB2312"/>
          <w:sz w:val="32"/>
          <w:szCs w:val="32"/>
        </w:rPr>
        <w:t>为保证项目实施，保质保量完成项目建设内容，林场制定严格的项目实施计划和监督管理制度，成立由场长担任组长，主管场长担任副组长，经营科、财务科、办公室、护林大队等相关科室负责人为成员的项目建设领导小组，具体负责项目实施。</w:t>
      </w:r>
      <w:r>
        <w:rPr>
          <w:rFonts w:ascii="仿宋_GB2312" w:eastAsia="仿宋_GB2312"/>
          <w:sz w:val="32"/>
          <w:szCs w:val="32"/>
        </w:rPr>
        <w:t>切实加强资金监管和预算执行管理，并严格执行公告公示制度，接受广大群众的监督。</w:t>
      </w:r>
    </w:p>
    <w:p>
      <w:pPr>
        <w:ind w:firstLine="640" w:firstLineChars="200"/>
        <w:rPr>
          <w:rFonts w:ascii="仿宋_GB2312" w:eastAsia="仿宋_GB2312"/>
          <w:sz w:val="32"/>
          <w:szCs w:val="32"/>
        </w:rPr>
      </w:pPr>
      <w:r>
        <w:rPr>
          <w:rFonts w:hint="eastAsia" w:ascii="仿宋_GB2312" w:eastAsia="仿宋_GB2312"/>
          <w:sz w:val="32"/>
          <w:szCs w:val="32"/>
        </w:rPr>
        <w:t>在项目实施过程中，严格按照施工设计和有关技术标准及要求组织施工。施工中要建立完善的项目建设档案，加强监督，严格项目实施的各个环节管理，从而保证高质量地完成项目预期目标。</w:t>
      </w:r>
    </w:p>
    <w:p>
      <w:pPr>
        <w:spacing w:line="570" w:lineRule="exact"/>
        <w:rPr>
          <w:rFonts w:ascii="仿宋" w:hAnsi="仿宋" w:eastAsia="仿宋" w:cs="仿宋"/>
          <w:b/>
          <w:bCs/>
          <w:sz w:val="32"/>
          <w:szCs w:val="32"/>
        </w:rPr>
      </w:pPr>
      <w:r>
        <w:rPr>
          <w:rFonts w:hint="eastAsia" w:ascii="仿宋_GB2312" w:eastAsia="仿宋_GB2312"/>
          <w:b/>
          <w:bCs/>
          <w:sz w:val="32"/>
          <w:szCs w:val="32"/>
        </w:rPr>
        <w:t>6.1.2</w:t>
      </w:r>
      <w:r>
        <w:rPr>
          <w:rFonts w:hint="eastAsia" w:ascii="仿宋" w:hAnsi="仿宋" w:eastAsia="仿宋" w:cs="仿宋"/>
          <w:b/>
          <w:bCs/>
          <w:sz w:val="32"/>
          <w:szCs w:val="32"/>
        </w:rPr>
        <w:t>工程管理措施</w:t>
      </w:r>
    </w:p>
    <w:p>
      <w:pPr>
        <w:ind w:firstLine="640" w:firstLineChars="200"/>
        <w:rPr>
          <w:rFonts w:ascii="仿宋_GB2312" w:eastAsia="仿宋_GB2312"/>
          <w:sz w:val="32"/>
          <w:szCs w:val="32"/>
        </w:rPr>
      </w:pPr>
      <w:r>
        <w:rPr>
          <w:rFonts w:hint="eastAsia" w:ascii="仿宋_GB2312" w:eastAsia="仿宋_GB2312"/>
          <w:sz w:val="32"/>
          <w:szCs w:val="32"/>
        </w:rPr>
        <w:t>由项目主管单位和承建单位抽调专人组成项目管理机构，全方位对项目的日常工作进行管理。</w:t>
      </w:r>
    </w:p>
    <w:p>
      <w:pPr>
        <w:ind w:firstLine="640" w:firstLineChars="200"/>
        <w:rPr>
          <w:rFonts w:ascii="仿宋_GB2312" w:eastAsia="仿宋_GB2312"/>
          <w:sz w:val="32"/>
          <w:szCs w:val="32"/>
        </w:rPr>
      </w:pPr>
      <w:r>
        <w:rPr>
          <w:rFonts w:hint="eastAsia" w:ascii="仿宋_GB2312" w:eastAsia="仿宋_GB2312"/>
          <w:sz w:val="32"/>
          <w:szCs w:val="32"/>
        </w:rPr>
        <w:t>（1）实行项目法人责任制、合同制、监理制，严格按基本建设程序施工。为使项目管理做到规范化、科学化、制度化和法制化，按照国家的有关法规和办法，实行项目法人责任制、合同管理制、监理制，做好各工序的检查验收，确保工程建设质量。</w:t>
      </w:r>
    </w:p>
    <w:p>
      <w:pPr>
        <w:ind w:firstLine="640" w:firstLineChars="200"/>
        <w:rPr>
          <w:rFonts w:ascii="仿宋_GB2312" w:eastAsia="仿宋_GB2312"/>
          <w:sz w:val="32"/>
          <w:szCs w:val="32"/>
        </w:rPr>
      </w:pPr>
      <w:r>
        <w:rPr>
          <w:rFonts w:hint="eastAsia" w:ascii="仿宋_GB2312" w:eastAsia="仿宋_GB2312"/>
          <w:sz w:val="32"/>
          <w:szCs w:val="32"/>
        </w:rPr>
        <w:t>（2）建立档案。建立档案，记载各项生产经营活动，建立一套完善施工数据档案，为项目执行效果的分析评价提供依据。</w:t>
      </w:r>
    </w:p>
    <w:p>
      <w:pPr>
        <w:ind w:firstLine="640" w:firstLineChars="200"/>
        <w:rPr>
          <w:rFonts w:ascii="仿宋_GB2312" w:eastAsia="仿宋_GB2312"/>
          <w:sz w:val="32"/>
          <w:szCs w:val="32"/>
        </w:rPr>
      </w:pPr>
      <w:r>
        <w:rPr>
          <w:rFonts w:hint="eastAsia" w:ascii="仿宋_GB2312" w:eastAsia="仿宋_GB2312"/>
          <w:sz w:val="32"/>
          <w:szCs w:val="32"/>
        </w:rPr>
        <w:t>（3）检查验收。建立自查、核查、验收制度。重点检查作业是否按设计执行和工程质量。</w:t>
      </w:r>
    </w:p>
    <w:p>
      <w:pPr>
        <w:spacing w:line="570" w:lineRule="exact"/>
        <w:rPr>
          <w:rFonts w:ascii="仿宋" w:hAnsi="仿宋" w:eastAsia="仿宋" w:cs="仿宋"/>
          <w:b/>
          <w:bCs/>
          <w:sz w:val="32"/>
          <w:szCs w:val="32"/>
        </w:rPr>
      </w:pPr>
      <w:r>
        <w:rPr>
          <w:rFonts w:hint="eastAsia" w:ascii="仿宋_GB2312" w:eastAsia="仿宋_GB2312"/>
          <w:b/>
          <w:bCs/>
          <w:sz w:val="32"/>
          <w:szCs w:val="32"/>
        </w:rPr>
        <w:t>6.1.3</w:t>
      </w:r>
      <w:r>
        <w:rPr>
          <w:rFonts w:hint="eastAsia" w:ascii="仿宋" w:hAnsi="仿宋" w:eastAsia="仿宋" w:cs="仿宋"/>
          <w:b/>
          <w:bCs/>
          <w:sz w:val="32"/>
          <w:szCs w:val="32"/>
        </w:rPr>
        <w:t>技术管理措施</w:t>
      </w:r>
    </w:p>
    <w:p>
      <w:pPr>
        <w:ind w:firstLine="640" w:firstLineChars="200"/>
        <w:rPr>
          <w:rFonts w:ascii="仿宋_GB2312" w:eastAsia="仿宋_GB2312"/>
          <w:sz w:val="32"/>
          <w:szCs w:val="32"/>
        </w:rPr>
      </w:pPr>
      <w:r>
        <w:rPr>
          <w:rFonts w:hint="eastAsia" w:ascii="仿宋_GB2312" w:eastAsia="仿宋_GB2312"/>
          <w:sz w:val="32"/>
          <w:szCs w:val="32"/>
        </w:rPr>
        <w:t>项目建设采取统一管理，分项实施。建立健全技术负责和技术档案管理制度，确保每个分项的施工质量和进度。在各项工程实施过程中，林场安排具体人员负责并聘请监理人员监督此项工作，以确保施工顺利进行及工程质量。同时签订质量保障和安全保障责任书，强化责任，对施工实行全面监督和全程管理。工程建设竣工后，由林场组织相关人员进行验收，确保工程质量。</w:t>
      </w:r>
    </w:p>
    <w:p>
      <w:pPr>
        <w:pStyle w:val="5"/>
        <w:rPr>
          <w:rFonts w:ascii="仿宋_GB2312" w:eastAsia="仿宋_GB2312"/>
        </w:rPr>
      </w:pPr>
      <w:bookmarkStart w:id="68" w:name="_Toc5643"/>
      <w:r>
        <w:rPr>
          <w:rFonts w:hint="eastAsia"/>
        </w:rPr>
        <w:t>6.2内业管理</w:t>
      </w:r>
      <w:bookmarkEnd w:id="68"/>
    </w:p>
    <w:p>
      <w:pPr>
        <w:spacing w:line="570" w:lineRule="exact"/>
        <w:rPr>
          <w:rFonts w:ascii="仿宋" w:hAnsi="仿宋" w:eastAsia="仿宋" w:cs="仿宋"/>
          <w:b/>
          <w:bCs/>
          <w:sz w:val="32"/>
          <w:szCs w:val="32"/>
        </w:rPr>
      </w:pPr>
      <w:r>
        <w:rPr>
          <w:rFonts w:hint="eastAsia" w:ascii="仿宋_GB2312" w:eastAsia="仿宋_GB2312"/>
          <w:b/>
          <w:bCs/>
          <w:sz w:val="32"/>
          <w:szCs w:val="32"/>
        </w:rPr>
        <w:t>6.2.1</w:t>
      </w:r>
      <w:r>
        <w:rPr>
          <w:rFonts w:hint="eastAsia" w:ascii="仿宋" w:hAnsi="仿宋" w:eastAsia="仿宋" w:cs="仿宋"/>
          <w:b/>
          <w:bCs/>
          <w:sz w:val="32"/>
          <w:szCs w:val="32"/>
        </w:rPr>
        <w:t>技术人员的分工及措施</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按项目管理要求，根据有关技术规程，进行项目的规划设计，编制项目实施方案。</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项目技术组根据审批的实施方案，组织技术人员制定年度施工计划，由项目建设组按计划施工。</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项目实施过程中，项目建设组安排工程监理人员跟班作业，并实行按环节验收制度，确保工程质量和进度。</w:t>
      </w:r>
    </w:p>
    <w:p>
      <w:pPr>
        <w:spacing w:line="600" w:lineRule="exact"/>
        <w:rPr>
          <w:rFonts w:ascii="仿宋" w:hAnsi="仿宋" w:eastAsia="仿宋_GB2312" w:cs="仿宋"/>
          <w:b/>
          <w:bCs/>
          <w:sz w:val="32"/>
          <w:szCs w:val="32"/>
        </w:rPr>
      </w:pPr>
      <w:r>
        <w:rPr>
          <w:rFonts w:hint="eastAsia" w:ascii="仿宋_GB2312" w:eastAsia="仿宋_GB2312"/>
          <w:b/>
          <w:bCs/>
          <w:sz w:val="32"/>
          <w:szCs w:val="32"/>
        </w:rPr>
        <w:t>6.2.1</w:t>
      </w:r>
      <w:r>
        <w:rPr>
          <w:rFonts w:hint="eastAsia" w:ascii="仿宋" w:hAnsi="仿宋" w:eastAsia="仿宋" w:cs="仿宋"/>
          <w:b/>
          <w:bCs/>
          <w:sz w:val="32"/>
          <w:szCs w:val="32"/>
        </w:rPr>
        <w:t>档案信息管理</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为及时准确了解管理各种信息，为工程建设服务，建立项目主管单位和承建单位两级信息管理专人负责制、档案资料管理制、档案资料验收移交制。</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专人负责制：建设单位与主管单位委托专人负责工程信息收集建档管理。项目建设单位信息收集工作由于立新负责，主管单位由尚海民负责。</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档案资料管理制：建立信息文件收发登记制度；文件档案分类存放制度；文件与档案归档制度。</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档案验收移交制：项目主管单位与建设单位在项目竣工验收前，应提请林业行政主管部门对工程档案进行预验收，未取得档案认可文件，不得组织工程竣工验收。工程验收合格后3个月内，向档案管理部门移交一套符合规定的工程档案，并办理移交手续。</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信息收集内容主要有：申报书、实施方案、合同书、各环节验收单、培训情况、实施过程图片、统计图表、报表等。</w:t>
      </w:r>
    </w:p>
    <w:p>
      <w:pPr>
        <w:spacing w:line="600" w:lineRule="exact"/>
        <w:ind w:firstLine="640" w:firstLineChars="200"/>
        <w:rPr>
          <w:rFonts w:ascii="仿宋_GB2312" w:eastAsia="仿宋_GB2312"/>
          <w:sz w:val="32"/>
          <w:szCs w:val="32"/>
        </w:rPr>
      </w:pPr>
      <w:r>
        <w:rPr>
          <w:rFonts w:hint="eastAsia" w:ascii="仿宋_GB2312" w:eastAsia="仿宋_GB2312"/>
          <w:sz w:val="32"/>
          <w:szCs w:val="32"/>
        </w:rPr>
        <w:t>其他信息：领导检查指示、工作讨论汇报的照片、录像等相关资料。</w:t>
      </w:r>
      <w:bookmarkStart w:id="69" w:name="_Toc22462"/>
    </w:p>
    <w:p>
      <w:pPr>
        <w:pStyle w:val="4"/>
        <w:jc w:val="both"/>
      </w:pPr>
    </w:p>
    <w:p/>
    <w:p>
      <w:pPr>
        <w:pStyle w:val="4"/>
        <w:jc w:val="both"/>
      </w:pPr>
      <w:r>
        <w:rPr>
          <w:rFonts w:hint="eastAsia"/>
        </w:rPr>
        <w:t>附表、附图及附件</w:t>
      </w:r>
      <w:bookmarkEnd w:id="69"/>
    </w:p>
    <w:p>
      <w:pPr>
        <w:rPr>
          <w:rFonts w:ascii="仿宋" w:hAnsi="仿宋" w:eastAsia="仿宋" w:cs="仿宋"/>
          <w:b/>
          <w:bCs/>
          <w:sz w:val="32"/>
          <w:szCs w:val="32"/>
        </w:rPr>
      </w:pPr>
      <w:r>
        <w:rPr>
          <w:rFonts w:hint="eastAsia" w:ascii="仿宋" w:hAnsi="仿宋" w:eastAsia="仿宋" w:cs="仿宋"/>
          <w:b/>
          <w:bCs/>
          <w:sz w:val="32"/>
          <w:szCs w:val="32"/>
        </w:rPr>
        <w:t>一、附表</w:t>
      </w:r>
    </w:p>
    <w:p>
      <w:pPr>
        <w:rPr>
          <w:rFonts w:ascii="仿宋" w:hAnsi="仿宋" w:eastAsia="仿宋" w:cs="仿宋"/>
          <w:sz w:val="32"/>
          <w:szCs w:val="32"/>
        </w:rPr>
      </w:pPr>
      <w:r>
        <w:rPr>
          <w:rFonts w:hint="eastAsia" w:ascii="仿宋" w:hAnsi="仿宋" w:eastAsia="仿宋" w:cs="仿宋"/>
          <w:sz w:val="32"/>
          <w:szCs w:val="32"/>
        </w:rPr>
        <w:t>1.项目基本情况表</w:t>
      </w:r>
    </w:p>
    <w:p>
      <w:pPr>
        <w:rPr>
          <w:rFonts w:ascii="仿宋" w:hAnsi="仿宋" w:eastAsia="仿宋" w:cs="仿宋"/>
          <w:sz w:val="32"/>
          <w:szCs w:val="32"/>
        </w:rPr>
      </w:pPr>
      <w:r>
        <w:rPr>
          <w:rFonts w:hint="eastAsia" w:ascii="仿宋" w:hAnsi="仿宋" w:eastAsia="仿宋" w:cs="仿宋"/>
          <w:sz w:val="32"/>
          <w:szCs w:val="32"/>
        </w:rPr>
        <w:t>2.项目投资概算表</w:t>
      </w:r>
    </w:p>
    <w:p>
      <w:pPr>
        <w:rPr>
          <w:rFonts w:ascii="仿宋" w:hAnsi="仿宋" w:eastAsia="仿宋" w:cs="仿宋"/>
          <w:b/>
          <w:bCs/>
          <w:sz w:val="32"/>
          <w:szCs w:val="32"/>
        </w:rPr>
      </w:pPr>
      <w:r>
        <w:rPr>
          <w:rFonts w:hint="eastAsia" w:ascii="仿宋" w:hAnsi="仿宋" w:eastAsia="仿宋" w:cs="仿宋"/>
          <w:b/>
          <w:bCs/>
          <w:sz w:val="32"/>
          <w:szCs w:val="32"/>
        </w:rPr>
        <w:t>二、附图</w:t>
      </w:r>
    </w:p>
    <w:p>
      <w:pPr>
        <w:rPr>
          <w:rFonts w:ascii="仿宋" w:hAnsi="仿宋" w:eastAsia="仿宋" w:cs="仿宋"/>
          <w:sz w:val="32"/>
          <w:szCs w:val="32"/>
        </w:rPr>
      </w:pPr>
      <w:r>
        <w:rPr>
          <w:rFonts w:hint="eastAsia" w:ascii="仿宋" w:hAnsi="仿宋" w:eastAsia="仿宋" w:cs="仿宋"/>
          <w:sz w:val="32"/>
          <w:szCs w:val="32"/>
        </w:rPr>
        <w:t>1.项目区位置示意图</w:t>
      </w:r>
    </w:p>
    <w:p>
      <w:pPr>
        <w:rPr>
          <w:rFonts w:ascii="仿宋" w:hAnsi="仿宋" w:eastAsia="仿宋" w:cs="仿宋"/>
          <w:sz w:val="32"/>
          <w:szCs w:val="32"/>
        </w:rPr>
      </w:pPr>
      <w:r>
        <w:rPr>
          <w:rFonts w:hint="eastAsia" w:ascii="仿宋" w:hAnsi="仿宋" w:eastAsia="仿宋" w:cs="仿宋"/>
          <w:sz w:val="32"/>
          <w:szCs w:val="32"/>
        </w:rPr>
        <w:t>2.基地现状图</w:t>
      </w:r>
    </w:p>
    <w:p>
      <w:pPr>
        <w:rPr>
          <w:rFonts w:ascii="仿宋" w:hAnsi="仿宋" w:eastAsia="仿宋" w:cs="仿宋"/>
          <w:sz w:val="32"/>
          <w:szCs w:val="32"/>
        </w:rPr>
      </w:pPr>
      <w:r>
        <w:rPr>
          <w:rFonts w:hint="eastAsia" w:ascii="仿宋" w:hAnsi="仿宋" w:eastAsia="仿宋" w:cs="仿宋"/>
          <w:sz w:val="32"/>
          <w:szCs w:val="32"/>
        </w:rPr>
        <w:t>3.项目布局图</w:t>
      </w:r>
    </w:p>
    <w:p>
      <w:pPr>
        <w:rPr>
          <w:rFonts w:ascii="仿宋" w:hAnsi="仿宋" w:eastAsia="仿宋" w:cs="仿宋"/>
          <w:b/>
          <w:bCs/>
          <w:sz w:val="32"/>
          <w:szCs w:val="32"/>
        </w:rPr>
      </w:pPr>
      <w:r>
        <w:rPr>
          <w:rFonts w:hint="eastAsia" w:ascii="仿宋" w:hAnsi="仿宋" w:eastAsia="仿宋" w:cs="仿宋"/>
          <w:b/>
          <w:bCs/>
          <w:sz w:val="32"/>
          <w:szCs w:val="32"/>
        </w:rPr>
        <w:t>三、附件</w:t>
      </w:r>
    </w:p>
    <w:p>
      <w:pPr>
        <w:rPr>
          <w:rFonts w:ascii="仿宋" w:hAnsi="仿宋" w:eastAsia="仿宋" w:cs="仿宋"/>
          <w:sz w:val="32"/>
          <w:szCs w:val="32"/>
        </w:rPr>
      </w:pPr>
      <w:r>
        <w:rPr>
          <w:rFonts w:hint="eastAsia" w:ascii="仿宋" w:hAnsi="仿宋" w:eastAsia="仿宋" w:cs="仿宋"/>
          <w:sz w:val="32"/>
          <w:szCs w:val="32"/>
        </w:rPr>
        <w:t>1.法人证书</w:t>
      </w:r>
    </w:p>
    <w:p>
      <w:pPr>
        <w:rPr>
          <w:rFonts w:ascii="仿宋" w:hAnsi="仿宋" w:eastAsia="仿宋" w:cs="仿宋"/>
          <w:sz w:val="32"/>
          <w:szCs w:val="32"/>
        </w:rPr>
      </w:pPr>
      <w:r>
        <w:rPr>
          <w:rFonts w:hint="eastAsia" w:ascii="仿宋" w:hAnsi="仿宋" w:eastAsia="仿宋" w:cs="仿宋"/>
          <w:sz w:val="32"/>
          <w:szCs w:val="32"/>
        </w:rPr>
        <w:t>2.土地（林地）使用证</w:t>
      </w:r>
    </w:p>
    <w:p>
      <w:pPr>
        <w:pStyle w:val="2"/>
        <w:rPr>
          <w:rFonts w:ascii="仿宋" w:hAnsi="仿宋" w:eastAsia="仿宋" w:cs="仿宋"/>
          <w:szCs w:val="32"/>
        </w:rPr>
      </w:pPr>
      <w:r>
        <w:rPr>
          <w:rFonts w:hint="eastAsia" w:ascii="仿宋" w:hAnsi="仿宋" w:eastAsia="仿宋" w:cs="仿宋"/>
          <w:szCs w:val="32"/>
        </w:rPr>
        <w:t>3.资金下达文件</w:t>
      </w:r>
    </w:p>
    <w:p>
      <w:pPr>
        <w:pStyle w:val="2"/>
        <w:rPr>
          <w:rFonts w:ascii="仿宋" w:hAnsi="仿宋" w:eastAsia="仿宋" w:cs="仿宋"/>
          <w:szCs w:val="32"/>
        </w:rPr>
      </w:pPr>
    </w:p>
    <w:p>
      <w:pPr>
        <w:pStyle w:val="2"/>
        <w:rPr>
          <w:rFonts w:ascii="仿宋" w:hAnsi="仿宋" w:eastAsia="仿宋" w:cs="仿宋"/>
          <w:szCs w:val="32"/>
        </w:rPr>
      </w:pPr>
    </w:p>
    <w:p>
      <w:pPr>
        <w:pStyle w:val="2"/>
        <w:rPr>
          <w:rFonts w:ascii="仿宋" w:hAnsi="仿宋" w:eastAsia="仿宋" w:cs="仿宋"/>
          <w:szCs w:val="32"/>
        </w:rPr>
      </w:pPr>
    </w:p>
    <w:p>
      <w:pPr>
        <w:pStyle w:val="2"/>
        <w:rPr>
          <w:rFonts w:ascii="仿宋" w:hAnsi="仿宋" w:eastAsia="仿宋" w:cs="仿宋"/>
          <w:szCs w:val="32"/>
        </w:rPr>
        <w:sectPr>
          <w:footerReference r:id="rId3" w:type="default"/>
          <w:pgSz w:w="11906" w:h="16838"/>
          <w:pgMar w:top="1440" w:right="1800" w:bottom="1440" w:left="1800" w:header="851" w:footer="992" w:gutter="0"/>
          <w:pgNumType w:start="1"/>
          <w:cols w:space="425" w:num="1"/>
          <w:docGrid w:type="lines" w:linePitch="312" w:charSpace="0"/>
        </w:sectPr>
      </w:pPr>
    </w:p>
    <w:tbl>
      <w:tblPr>
        <w:tblStyle w:val="14"/>
        <w:tblW w:w="14081" w:type="dxa"/>
        <w:tblInd w:w="93" w:type="dxa"/>
        <w:tblLayout w:type="fixed"/>
        <w:tblCellMar>
          <w:top w:w="0" w:type="dxa"/>
          <w:left w:w="108" w:type="dxa"/>
          <w:bottom w:w="0" w:type="dxa"/>
          <w:right w:w="108" w:type="dxa"/>
        </w:tblCellMar>
      </w:tblPr>
      <w:tblGrid>
        <w:gridCol w:w="345"/>
        <w:gridCol w:w="957"/>
        <w:gridCol w:w="1364"/>
        <w:gridCol w:w="2266"/>
        <w:gridCol w:w="1350"/>
        <w:gridCol w:w="1230"/>
        <w:gridCol w:w="1710"/>
        <w:gridCol w:w="1620"/>
        <w:gridCol w:w="1200"/>
        <w:gridCol w:w="1395"/>
        <w:gridCol w:w="644"/>
      </w:tblGrid>
      <w:tr>
        <w:tblPrEx>
          <w:tblCellMar>
            <w:top w:w="0" w:type="dxa"/>
            <w:left w:w="108" w:type="dxa"/>
            <w:bottom w:w="0" w:type="dxa"/>
            <w:right w:w="108" w:type="dxa"/>
          </w:tblCellMar>
        </w:tblPrEx>
        <w:trPr>
          <w:trHeight w:val="270" w:hRule="atLeast"/>
        </w:trPr>
        <w:tc>
          <w:tcPr>
            <w:tcW w:w="1302" w:type="dxa"/>
            <w:gridSpan w:val="2"/>
            <w:tcBorders>
              <w:top w:val="nil"/>
              <w:left w:val="nil"/>
              <w:bottom w:val="nil"/>
              <w:right w:val="nil"/>
            </w:tcBorders>
            <w:shd w:val="clear" w:color="auto" w:fill="auto"/>
            <w:noWrap/>
            <w:vAlign w:val="center"/>
          </w:tcPr>
          <w:p>
            <w:pPr>
              <w:rPr>
                <w:rFonts w:ascii="宋体" w:hAnsi="宋体" w:eastAsia="宋体" w:cs="宋体"/>
                <w:color w:val="000000"/>
                <w:sz w:val="22"/>
                <w:szCs w:val="22"/>
              </w:rPr>
            </w:pPr>
            <w:r>
              <w:rPr>
                <w:rFonts w:hint="eastAsia" w:ascii="黑体" w:hAnsi="宋体" w:eastAsia="黑体" w:cs="黑体"/>
                <w:color w:val="000000"/>
                <w:kern w:val="0"/>
                <w:sz w:val="22"/>
                <w:szCs w:val="22"/>
                <w:lang w:bidi="ar"/>
              </w:rPr>
              <w:t>附表1</w:t>
            </w:r>
          </w:p>
        </w:tc>
        <w:tc>
          <w:tcPr>
            <w:tcW w:w="1364"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2266"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1350"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1230"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1710"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1620"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1200"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1395"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c>
          <w:tcPr>
            <w:tcW w:w="644" w:type="dxa"/>
            <w:tcBorders>
              <w:top w:val="nil"/>
              <w:left w:val="nil"/>
              <w:bottom w:val="nil"/>
              <w:right w:val="nil"/>
            </w:tcBorders>
            <w:shd w:val="clear" w:color="auto" w:fill="auto"/>
            <w:noWrap/>
            <w:vAlign w:val="center"/>
          </w:tcPr>
          <w:p>
            <w:pPr>
              <w:rPr>
                <w:rFonts w:ascii="宋体" w:hAnsi="宋体" w:eastAsia="宋体" w:cs="宋体"/>
                <w:color w:val="000000"/>
                <w:sz w:val="22"/>
                <w:szCs w:val="22"/>
              </w:rPr>
            </w:pPr>
          </w:p>
        </w:tc>
      </w:tr>
      <w:tr>
        <w:tblPrEx>
          <w:tblCellMar>
            <w:top w:w="0" w:type="dxa"/>
            <w:left w:w="108" w:type="dxa"/>
            <w:bottom w:w="0" w:type="dxa"/>
            <w:right w:w="108" w:type="dxa"/>
          </w:tblCellMar>
        </w:tblPrEx>
        <w:trPr>
          <w:trHeight w:val="510" w:hRule="atLeast"/>
        </w:trPr>
        <w:tc>
          <w:tcPr>
            <w:tcW w:w="14081" w:type="dxa"/>
            <w:gridSpan w:val="11"/>
            <w:tcBorders>
              <w:top w:val="nil"/>
              <w:left w:val="nil"/>
              <w:bottom w:val="nil"/>
              <w:right w:val="nil"/>
            </w:tcBorders>
            <w:shd w:val="clear" w:color="auto" w:fill="auto"/>
            <w:vAlign w:val="center"/>
          </w:tcPr>
          <w:p>
            <w:pPr>
              <w:widowControl/>
              <w:jc w:val="center"/>
              <w:textAlignment w:val="center"/>
              <w:rPr>
                <w:rFonts w:ascii="华文中宋" w:hAnsi="华文中宋" w:eastAsia="华文中宋" w:cs="华文中宋"/>
                <w:b/>
                <w:bCs/>
                <w:color w:val="000000"/>
                <w:sz w:val="36"/>
                <w:szCs w:val="36"/>
              </w:rPr>
            </w:pPr>
            <w:r>
              <w:rPr>
                <w:rFonts w:ascii="华文中宋" w:hAnsi="华文中宋" w:eastAsia="华文中宋" w:cs="华文中宋"/>
                <w:b/>
                <w:bCs/>
                <w:color w:val="000000"/>
                <w:kern w:val="0"/>
                <w:sz w:val="36"/>
                <w:szCs w:val="36"/>
                <w:lang w:bidi="ar"/>
              </w:rPr>
              <w:t>承德市202</w:t>
            </w:r>
            <w:r>
              <w:rPr>
                <w:rFonts w:hint="eastAsia" w:ascii="华文中宋" w:hAnsi="华文中宋" w:eastAsia="华文中宋" w:cs="华文中宋"/>
                <w:b/>
                <w:bCs/>
                <w:color w:val="000000"/>
                <w:kern w:val="0"/>
                <w:sz w:val="36"/>
                <w:szCs w:val="36"/>
                <w:lang w:bidi="ar"/>
              </w:rPr>
              <w:t>3</w:t>
            </w:r>
            <w:r>
              <w:rPr>
                <w:rFonts w:ascii="华文中宋" w:hAnsi="华文中宋" w:eastAsia="华文中宋" w:cs="华文中宋"/>
                <w:b/>
                <w:bCs/>
                <w:color w:val="000000"/>
                <w:kern w:val="0"/>
                <w:sz w:val="36"/>
                <w:szCs w:val="36"/>
                <w:lang w:bidi="ar"/>
              </w:rPr>
              <w:t>年欠发达国有贫困林场项目基本情况表</w:t>
            </w:r>
          </w:p>
        </w:tc>
      </w:tr>
      <w:tr>
        <w:tblPrEx>
          <w:tblCellMar>
            <w:top w:w="0" w:type="dxa"/>
            <w:left w:w="108" w:type="dxa"/>
            <w:bottom w:w="0" w:type="dxa"/>
            <w:right w:w="108" w:type="dxa"/>
          </w:tblCellMar>
        </w:tblPrEx>
        <w:trPr>
          <w:trHeight w:val="420" w:hRule="atLeast"/>
        </w:trPr>
        <w:tc>
          <w:tcPr>
            <w:tcW w:w="1302" w:type="dxa"/>
            <w:gridSpan w:val="2"/>
            <w:tcBorders>
              <w:top w:val="nil"/>
              <w:left w:val="nil"/>
              <w:bottom w:val="nil"/>
              <w:right w:val="nil"/>
            </w:tcBorders>
            <w:shd w:val="clear" w:color="auto" w:fill="auto"/>
            <w:vAlign w:val="center"/>
          </w:tcPr>
          <w:p>
            <w:pPr>
              <w:jc w:val="left"/>
              <w:rPr>
                <w:rFonts w:ascii="仿宋_GB2312" w:hAnsi="宋体" w:eastAsia="仿宋_GB2312" w:cs="仿宋_GB2312"/>
                <w:color w:val="000000"/>
                <w:sz w:val="24"/>
              </w:rPr>
            </w:pPr>
          </w:p>
        </w:tc>
        <w:tc>
          <w:tcPr>
            <w:tcW w:w="1364" w:type="dxa"/>
            <w:tcBorders>
              <w:top w:val="nil"/>
              <w:left w:val="nil"/>
              <w:bottom w:val="nil"/>
              <w:right w:val="nil"/>
            </w:tcBorders>
            <w:shd w:val="clear" w:color="auto" w:fill="auto"/>
            <w:vAlign w:val="center"/>
          </w:tcPr>
          <w:p>
            <w:pPr>
              <w:jc w:val="left"/>
              <w:rPr>
                <w:rFonts w:ascii="宋体" w:hAnsi="宋体" w:eastAsia="宋体" w:cs="宋体"/>
                <w:color w:val="000000"/>
                <w:sz w:val="24"/>
              </w:rPr>
            </w:pPr>
          </w:p>
        </w:tc>
        <w:tc>
          <w:tcPr>
            <w:tcW w:w="2266" w:type="dxa"/>
            <w:tcBorders>
              <w:top w:val="nil"/>
              <w:left w:val="nil"/>
              <w:bottom w:val="nil"/>
              <w:right w:val="nil"/>
            </w:tcBorders>
            <w:shd w:val="clear" w:color="auto" w:fill="auto"/>
            <w:vAlign w:val="center"/>
          </w:tcPr>
          <w:p>
            <w:pPr>
              <w:jc w:val="left"/>
              <w:rPr>
                <w:rFonts w:ascii="宋体" w:hAnsi="宋体" w:eastAsia="宋体" w:cs="宋体"/>
                <w:color w:val="000000"/>
                <w:sz w:val="24"/>
              </w:rPr>
            </w:pPr>
          </w:p>
        </w:tc>
        <w:tc>
          <w:tcPr>
            <w:tcW w:w="1350" w:type="dxa"/>
            <w:tcBorders>
              <w:top w:val="nil"/>
              <w:left w:val="nil"/>
              <w:bottom w:val="nil"/>
              <w:right w:val="nil"/>
            </w:tcBorders>
            <w:shd w:val="clear" w:color="auto" w:fill="auto"/>
            <w:vAlign w:val="center"/>
          </w:tcPr>
          <w:p>
            <w:pPr>
              <w:jc w:val="center"/>
              <w:rPr>
                <w:rFonts w:ascii="宋体" w:hAnsi="宋体" w:eastAsia="宋体" w:cs="宋体"/>
                <w:color w:val="000000"/>
                <w:sz w:val="24"/>
              </w:rPr>
            </w:pPr>
          </w:p>
        </w:tc>
        <w:tc>
          <w:tcPr>
            <w:tcW w:w="1230" w:type="dxa"/>
            <w:tcBorders>
              <w:top w:val="nil"/>
              <w:left w:val="nil"/>
              <w:bottom w:val="nil"/>
              <w:right w:val="nil"/>
            </w:tcBorders>
            <w:shd w:val="clear" w:color="auto" w:fill="auto"/>
            <w:vAlign w:val="center"/>
          </w:tcPr>
          <w:p>
            <w:pPr>
              <w:jc w:val="center"/>
              <w:rPr>
                <w:rFonts w:ascii="宋体" w:hAnsi="宋体" w:eastAsia="宋体" w:cs="宋体"/>
                <w:color w:val="000000"/>
                <w:sz w:val="24"/>
              </w:rPr>
            </w:pPr>
          </w:p>
        </w:tc>
        <w:tc>
          <w:tcPr>
            <w:tcW w:w="1710" w:type="dxa"/>
            <w:tcBorders>
              <w:top w:val="nil"/>
              <w:left w:val="nil"/>
              <w:bottom w:val="nil"/>
              <w:right w:val="nil"/>
            </w:tcBorders>
            <w:shd w:val="clear" w:color="auto" w:fill="auto"/>
            <w:vAlign w:val="center"/>
          </w:tcPr>
          <w:p>
            <w:pPr>
              <w:jc w:val="center"/>
              <w:rPr>
                <w:rFonts w:ascii="宋体" w:hAnsi="宋体" w:eastAsia="宋体" w:cs="宋体"/>
                <w:color w:val="000000"/>
                <w:sz w:val="24"/>
              </w:rPr>
            </w:pPr>
          </w:p>
        </w:tc>
        <w:tc>
          <w:tcPr>
            <w:tcW w:w="4859" w:type="dxa"/>
            <w:gridSpan w:val="4"/>
            <w:tcBorders>
              <w:top w:val="nil"/>
              <w:left w:val="nil"/>
              <w:bottom w:val="nil"/>
              <w:right w:val="nil"/>
            </w:tcBorders>
            <w:shd w:val="clear" w:color="auto" w:fill="auto"/>
            <w:vAlign w:val="center"/>
          </w:tcPr>
          <w:p>
            <w:pPr>
              <w:widowControl/>
              <w:jc w:val="right"/>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单位：亩、万元</w:t>
            </w:r>
          </w:p>
        </w:tc>
      </w:tr>
      <w:tr>
        <w:tblPrEx>
          <w:tblCellMar>
            <w:top w:w="0" w:type="dxa"/>
            <w:left w:w="108" w:type="dxa"/>
            <w:bottom w:w="0" w:type="dxa"/>
            <w:right w:w="108" w:type="dxa"/>
          </w:tblCellMar>
        </w:tblPrEx>
        <w:trPr>
          <w:trHeight w:val="522" w:hRule="atLeast"/>
        </w:trPr>
        <w:tc>
          <w:tcPr>
            <w:tcW w:w="34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序号</w:t>
            </w:r>
          </w:p>
        </w:tc>
        <w:tc>
          <w:tcPr>
            <w:tcW w:w="957"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kern w:val="0"/>
                <w:sz w:val="20"/>
                <w:szCs w:val="20"/>
                <w:lang w:bidi="ar"/>
              </w:rPr>
            </w:pPr>
            <w:r>
              <w:rPr>
                <w:rFonts w:ascii="仿宋_GB2312" w:hAnsi="宋体" w:eastAsia="仿宋_GB2312" w:cs="仿宋_GB2312"/>
                <w:color w:val="000000"/>
                <w:kern w:val="0"/>
                <w:sz w:val="20"/>
                <w:szCs w:val="20"/>
                <w:lang w:bidi="ar"/>
              </w:rPr>
              <w:t>项目</w:t>
            </w:r>
          </w:p>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名称</w:t>
            </w:r>
          </w:p>
        </w:tc>
        <w:tc>
          <w:tcPr>
            <w:tcW w:w="136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kern w:val="0"/>
                <w:sz w:val="20"/>
                <w:szCs w:val="20"/>
                <w:lang w:bidi="ar"/>
              </w:rPr>
            </w:pPr>
            <w:r>
              <w:rPr>
                <w:rFonts w:ascii="仿宋_GB2312" w:hAnsi="宋体" w:eastAsia="仿宋_GB2312" w:cs="仿宋_GB2312"/>
                <w:color w:val="000000"/>
                <w:kern w:val="0"/>
                <w:sz w:val="20"/>
                <w:szCs w:val="20"/>
                <w:lang w:bidi="ar"/>
              </w:rPr>
              <w:t>实施</w:t>
            </w:r>
          </w:p>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单位</w:t>
            </w:r>
          </w:p>
        </w:tc>
        <w:tc>
          <w:tcPr>
            <w:tcW w:w="226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主要建设内容</w:t>
            </w:r>
          </w:p>
        </w:tc>
        <w:tc>
          <w:tcPr>
            <w:tcW w:w="4290"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Style w:val="18"/>
                <w:rFonts w:hAnsi="宋体"/>
                <w:lang w:bidi="ar"/>
              </w:rPr>
              <w:t>投资</w:t>
            </w:r>
            <w:r>
              <w:rPr>
                <w:rStyle w:val="19"/>
                <w:rFonts w:hint="default"/>
                <w:lang w:bidi="ar"/>
              </w:rPr>
              <w:t>(</w:t>
            </w:r>
            <w:r>
              <w:rPr>
                <w:rStyle w:val="18"/>
                <w:rFonts w:hAnsi="宋体"/>
                <w:lang w:bidi="ar"/>
              </w:rPr>
              <w:t>万元</w:t>
            </w:r>
            <w:r>
              <w:rPr>
                <w:rStyle w:val="19"/>
                <w:rFonts w:hint="default"/>
                <w:lang w:bidi="ar"/>
              </w:rPr>
              <w:t>)</w:t>
            </w:r>
          </w:p>
        </w:tc>
        <w:tc>
          <w:tcPr>
            <w:tcW w:w="1620"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项目建设期</w:t>
            </w:r>
          </w:p>
        </w:tc>
        <w:tc>
          <w:tcPr>
            <w:tcW w:w="1200" w:type="dxa"/>
            <w:vMerge w:val="restart"/>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项目负责人</w:t>
            </w:r>
          </w:p>
        </w:tc>
        <w:tc>
          <w:tcPr>
            <w:tcW w:w="1395" w:type="dxa"/>
            <w:vMerge w:val="restart"/>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联系电话</w:t>
            </w:r>
          </w:p>
        </w:tc>
        <w:tc>
          <w:tcPr>
            <w:tcW w:w="644"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备注</w:t>
            </w:r>
          </w:p>
        </w:tc>
      </w:tr>
      <w:tr>
        <w:tblPrEx>
          <w:tblCellMar>
            <w:top w:w="0" w:type="dxa"/>
            <w:left w:w="108" w:type="dxa"/>
            <w:bottom w:w="0" w:type="dxa"/>
            <w:right w:w="108" w:type="dxa"/>
          </w:tblCellMar>
        </w:tblPrEx>
        <w:trPr>
          <w:trHeight w:val="522" w:hRule="atLeast"/>
        </w:trPr>
        <w:tc>
          <w:tcPr>
            <w:tcW w:w="34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c>
          <w:tcPr>
            <w:tcW w:w="957"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c>
          <w:tcPr>
            <w:tcW w:w="136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c>
          <w:tcPr>
            <w:tcW w:w="226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c>
          <w:tcPr>
            <w:tcW w:w="135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总投资</w:t>
            </w:r>
          </w:p>
        </w:tc>
        <w:tc>
          <w:tcPr>
            <w:tcW w:w="123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财政投资</w:t>
            </w:r>
          </w:p>
        </w:tc>
        <w:tc>
          <w:tcPr>
            <w:tcW w:w="1710" w:type="dxa"/>
            <w:tcBorders>
              <w:top w:val="single" w:color="000000" w:sz="4" w:space="0"/>
              <w:left w:val="single" w:color="000000" w:sz="4" w:space="0"/>
              <w:bottom w:val="nil"/>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自筹资金</w:t>
            </w:r>
          </w:p>
        </w:tc>
        <w:tc>
          <w:tcPr>
            <w:tcW w:w="1620"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c>
          <w:tcPr>
            <w:tcW w:w="1200" w:type="dxa"/>
            <w:vMerge w:val="continue"/>
            <w:tcBorders>
              <w:top w:val="single" w:color="000000" w:sz="4" w:space="0"/>
              <w:left w:val="single" w:color="000000" w:sz="4" w:space="0"/>
              <w:bottom w:val="nil"/>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c>
          <w:tcPr>
            <w:tcW w:w="1395" w:type="dxa"/>
            <w:vMerge w:val="continue"/>
            <w:tcBorders>
              <w:top w:val="single" w:color="000000" w:sz="4" w:space="0"/>
              <w:left w:val="single" w:color="000000" w:sz="4" w:space="0"/>
              <w:bottom w:val="nil"/>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c>
          <w:tcPr>
            <w:tcW w:w="644"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0"/>
                <w:szCs w:val="20"/>
              </w:rPr>
            </w:pPr>
          </w:p>
        </w:tc>
      </w:tr>
      <w:tr>
        <w:tblPrEx>
          <w:tblCellMar>
            <w:top w:w="0" w:type="dxa"/>
            <w:left w:w="108" w:type="dxa"/>
            <w:bottom w:w="0" w:type="dxa"/>
            <w:right w:w="108" w:type="dxa"/>
          </w:tblCellMar>
        </w:tblPrEx>
        <w:trPr>
          <w:trHeight w:val="4551" w:hRule="atLeast"/>
        </w:trPr>
        <w:tc>
          <w:tcPr>
            <w:tcW w:w="34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0"/>
                <w:szCs w:val="20"/>
              </w:rPr>
            </w:pPr>
            <w:r>
              <w:rPr>
                <w:rFonts w:ascii="仿宋_GB2312" w:hAnsi="宋体" w:eastAsia="仿宋_GB2312" w:cs="仿宋_GB2312"/>
                <w:color w:val="000000"/>
                <w:kern w:val="0"/>
                <w:sz w:val="20"/>
                <w:szCs w:val="20"/>
                <w:lang w:bidi="ar"/>
              </w:rPr>
              <w:t>1</w:t>
            </w:r>
          </w:p>
        </w:tc>
        <w:tc>
          <w:tcPr>
            <w:tcW w:w="95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textAlignment w:val="center"/>
              <w:rPr>
                <w:rFonts w:ascii="仿宋" w:hAnsi="仿宋" w:eastAsia="仿宋" w:cs="仿宋"/>
                <w:color w:val="000000"/>
                <w:sz w:val="20"/>
                <w:szCs w:val="20"/>
              </w:rPr>
            </w:pPr>
            <w:r>
              <w:rPr>
                <w:rFonts w:hint="eastAsia" w:ascii="仿宋" w:hAnsi="仿宋" w:eastAsia="仿宋" w:cs="仿宋"/>
                <w:color w:val="000000"/>
                <w:kern w:val="0"/>
                <w:sz w:val="20"/>
                <w:szCs w:val="20"/>
                <w:lang w:bidi="ar"/>
              </w:rPr>
              <w:t>黄土梁子林场林下种植中药材项</w:t>
            </w:r>
            <w:r>
              <w:rPr>
                <w:rStyle w:val="20"/>
                <w:rFonts w:hint="default"/>
                <w:lang w:bidi="ar"/>
              </w:rPr>
              <w:t>目</w:t>
            </w:r>
          </w:p>
        </w:tc>
        <w:tc>
          <w:tcPr>
            <w:tcW w:w="136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textAlignment w:val="center"/>
              <w:rPr>
                <w:rFonts w:ascii="仿宋" w:hAnsi="仿宋" w:eastAsia="仿宋" w:cs="仿宋"/>
                <w:color w:val="000000"/>
                <w:sz w:val="20"/>
                <w:szCs w:val="20"/>
              </w:rPr>
            </w:pPr>
            <w:r>
              <w:rPr>
                <w:rFonts w:hint="eastAsia" w:ascii="仿宋" w:hAnsi="仿宋" w:eastAsia="仿宋" w:cs="仿宋"/>
                <w:color w:val="000000"/>
                <w:kern w:val="0"/>
                <w:sz w:val="20"/>
                <w:szCs w:val="20"/>
                <w:lang w:bidi="ar"/>
              </w:rPr>
              <w:t>平泉市国有黄土梁子林场</w:t>
            </w:r>
          </w:p>
        </w:tc>
        <w:tc>
          <w:tcPr>
            <w:tcW w:w="2266"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textAlignment w:val="center"/>
              <w:rPr>
                <w:rFonts w:ascii="仿宋" w:hAnsi="仿宋" w:eastAsia="仿宋" w:cs="仿宋"/>
                <w:color w:val="000000"/>
                <w:sz w:val="20"/>
                <w:szCs w:val="20"/>
              </w:rPr>
            </w:pPr>
            <w:r>
              <w:rPr>
                <w:rFonts w:hint="eastAsia" w:ascii="宋体"/>
              </w:rPr>
              <w:t>结合国家刺槐良种基地，新建林下种植中药材示范基地500亩，架设高压输电线路2.5km，低压输电线路1.0km，安装变压器1台；在刺槐良种基地附近南梁社区南梁改建生产管护用房1处，建设面积150平方米，并配备基础设施1套。</w:t>
            </w: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 w:hAnsi="仿宋" w:eastAsia="仿宋" w:cs="仿宋"/>
                <w:color w:val="000000"/>
                <w:sz w:val="20"/>
                <w:szCs w:val="20"/>
              </w:rPr>
            </w:pPr>
            <w:r>
              <w:rPr>
                <w:rFonts w:hint="eastAsia" w:ascii="仿宋" w:hAnsi="仿宋" w:eastAsia="仿宋" w:cs="仿宋"/>
                <w:color w:val="000000"/>
                <w:kern w:val="0"/>
                <w:sz w:val="20"/>
                <w:szCs w:val="20"/>
                <w:lang w:bidi="ar"/>
              </w:rPr>
              <w:t>328</w:t>
            </w:r>
          </w:p>
        </w:tc>
        <w:tc>
          <w:tcPr>
            <w:tcW w:w="12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 w:hAnsi="仿宋" w:eastAsia="仿宋" w:cs="仿宋"/>
                <w:color w:val="000000"/>
                <w:sz w:val="20"/>
                <w:szCs w:val="20"/>
              </w:rPr>
            </w:pPr>
            <w:r>
              <w:rPr>
                <w:rFonts w:hint="eastAsia" w:ascii="仿宋" w:hAnsi="仿宋" w:eastAsia="仿宋" w:cs="仿宋"/>
                <w:color w:val="000000"/>
                <w:kern w:val="0"/>
                <w:sz w:val="20"/>
                <w:szCs w:val="20"/>
                <w:lang w:bidi="ar"/>
              </w:rPr>
              <w:t>328</w:t>
            </w:r>
          </w:p>
        </w:tc>
        <w:tc>
          <w:tcPr>
            <w:tcW w:w="171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 w:hAnsi="仿宋" w:eastAsia="仿宋" w:cs="仿宋"/>
                <w:color w:val="000000"/>
                <w:sz w:val="20"/>
                <w:szCs w:val="20"/>
              </w:rPr>
            </w:pPr>
            <w:r>
              <w:rPr>
                <w:rFonts w:hint="eastAsia" w:ascii="仿宋" w:hAnsi="仿宋" w:eastAsia="仿宋" w:cs="仿宋"/>
                <w:color w:val="000000"/>
                <w:kern w:val="0"/>
                <w:sz w:val="20"/>
                <w:szCs w:val="20"/>
                <w:lang w:bidi="ar"/>
              </w:rPr>
              <w:t>0</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仿宋" w:hAnsi="仿宋" w:eastAsia="仿宋" w:cs="仿宋"/>
                <w:color w:val="000000"/>
                <w:szCs w:val="21"/>
              </w:rPr>
            </w:pPr>
            <w:r>
              <w:rPr>
                <w:rFonts w:hint="eastAsia" w:ascii="仿宋" w:hAnsi="仿宋" w:eastAsia="仿宋" w:cs="仿宋"/>
                <w:color w:val="000000"/>
                <w:kern w:val="0"/>
                <w:szCs w:val="21"/>
                <w:lang w:bidi="ar"/>
              </w:rPr>
              <w:t>2022年12月至2023年12月</w:t>
            </w:r>
          </w:p>
        </w:tc>
        <w:tc>
          <w:tcPr>
            <w:tcW w:w="120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仿宋" w:hAnsi="仿宋" w:eastAsia="仿宋" w:cs="仿宋"/>
                <w:color w:val="000000"/>
                <w:sz w:val="20"/>
                <w:szCs w:val="20"/>
              </w:rPr>
            </w:pPr>
            <w:r>
              <w:rPr>
                <w:rFonts w:hint="eastAsia" w:ascii="仿宋" w:hAnsi="仿宋" w:eastAsia="仿宋" w:cs="仿宋"/>
                <w:color w:val="000000"/>
                <w:kern w:val="0"/>
                <w:sz w:val="20"/>
                <w:szCs w:val="20"/>
                <w:lang w:bidi="ar"/>
              </w:rPr>
              <w:t xml:space="preserve">  徐兰丽</w:t>
            </w:r>
          </w:p>
        </w:tc>
        <w:tc>
          <w:tcPr>
            <w:tcW w:w="139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仿宋" w:hAnsi="仿宋" w:eastAsia="仿宋" w:cs="仿宋"/>
                <w:color w:val="000000"/>
                <w:sz w:val="20"/>
                <w:szCs w:val="20"/>
              </w:rPr>
            </w:pPr>
            <w:r>
              <w:rPr>
                <w:rFonts w:hint="eastAsia" w:ascii="仿宋" w:hAnsi="仿宋" w:eastAsia="仿宋" w:cs="仿宋"/>
                <w:color w:val="000000"/>
                <w:kern w:val="0"/>
                <w:sz w:val="20"/>
                <w:szCs w:val="20"/>
                <w:lang w:bidi="ar"/>
              </w:rPr>
              <w:t>13633147086</w:t>
            </w:r>
          </w:p>
        </w:tc>
        <w:tc>
          <w:tcPr>
            <w:tcW w:w="64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仿宋" w:hAnsi="仿宋" w:eastAsia="仿宋" w:cs="仿宋"/>
                <w:color w:val="000000"/>
                <w:sz w:val="20"/>
                <w:szCs w:val="20"/>
              </w:rPr>
            </w:pPr>
          </w:p>
        </w:tc>
      </w:tr>
    </w:tbl>
    <w:p>
      <w:pPr>
        <w:pStyle w:val="2"/>
        <w:rPr>
          <w:rFonts w:ascii="仿宋" w:hAnsi="仿宋" w:eastAsia="仿宋" w:cs="仿宋"/>
          <w:szCs w:val="32"/>
        </w:rPr>
      </w:pPr>
    </w:p>
    <w:p>
      <w:pPr>
        <w:pStyle w:val="2"/>
        <w:rPr>
          <w:rFonts w:ascii="仿宋" w:hAnsi="仿宋" w:eastAsia="仿宋" w:cs="仿宋"/>
          <w:szCs w:val="32"/>
        </w:rPr>
      </w:pPr>
    </w:p>
    <w:tbl>
      <w:tblPr>
        <w:tblStyle w:val="14"/>
        <w:tblW w:w="13797" w:type="dxa"/>
        <w:tblInd w:w="93" w:type="dxa"/>
        <w:tblLayout w:type="fixed"/>
        <w:tblCellMar>
          <w:top w:w="0" w:type="dxa"/>
          <w:left w:w="108" w:type="dxa"/>
          <w:bottom w:w="0" w:type="dxa"/>
          <w:right w:w="108" w:type="dxa"/>
        </w:tblCellMar>
      </w:tblPr>
      <w:tblGrid>
        <w:gridCol w:w="456"/>
        <w:gridCol w:w="3126"/>
        <w:gridCol w:w="1560"/>
        <w:gridCol w:w="1012"/>
        <w:gridCol w:w="885"/>
        <w:gridCol w:w="885"/>
        <w:gridCol w:w="855"/>
        <w:gridCol w:w="585"/>
        <w:gridCol w:w="758"/>
        <w:gridCol w:w="930"/>
        <w:gridCol w:w="1350"/>
        <w:gridCol w:w="870"/>
        <w:gridCol w:w="525"/>
      </w:tblGrid>
      <w:tr>
        <w:tblPrEx>
          <w:tblCellMar>
            <w:top w:w="0" w:type="dxa"/>
            <w:left w:w="108" w:type="dxa"/>
            <w:bottom w:w="0" w:type="dxa"/>
            <w:right w:w="108" w:type="dxa"/>
          </w:tblCellMar>
        </w:tblPrEx>
        <w:trPr>
          <w:trHeight w:val="405" w:hRule="atLeast"/>
        </w:trPr>
        <w:tc>
          <w:tcPr>
            <w:tcW w:w="13797" w:type="dxa"/>
            <w:gridSpan w:val="13"/>
            <w:tcBorders>
              <w:top w:val="nil"/>
              <w:left w:val="nil"/>
              <w:bottom w:val="nil"/>
              <w:right w:val="nil"/>
            </w:tcBorders>
            <w:shd w:val="clear" w:color="auto" w:fill="auto"/>
            <w:vAlign w:val="center"/>
          </w:tcPr>
          <w:p>
            <w:pPr>
              <w:widowControl/>
              <w:textAlignment w:val="center"/>
              <w:rPr>
                <w:rFonts w:ascii="黑体" w:hAnsi="宋体" w:eastAsia="黑体" w:cs="黑体"/>
                <w:b/>
                <w:bCs/>
                <w:color w:val="000000"/>
                <w:kern w:val="0"/>
                <w:sz w:val="24"/>
                <w:lang w:bidi="ar"/>
              </w:rPr>
            </w:pPr>
            <w:r>
              <w:rPr>
                <w:rFonts w:hint="eastAsia" w:ascii="黑体" w:hAnsi="宋体" w:eastAsia="黑体" w:cs="黑体"/>
                <w:b/>
                <w:bCs/>
                <w:color w:val="000000"/>
                <w:kern w:val="0"/>
                <w:sz w:val="24"/>
                <w:lang w:bidi="ar"/>
              </w:rPr>
              <w:t>附表2</w:t>
            </w:r>
          </w:p>
          <w:p>
            <w:pPr>
              <w:widowControl/>
              <w:jc w:val="center"/>
              <w:textAlignment w:val="center"/>
              <w:rPr>
                <w:rFonts w:ascii="黑体" w:hAnsi="宋体" w:eastAsia="黑体" w:cs="黑体"/>
                <w:b/>
                <w:bCs/>
                <w:color w:val="000000"/>
                <w:sz w:val="32"/>
                <w:szCs w:val="32"/>
              </w:rPr>
            </w:pPr>
            <w:r>
              <w:rPr>
                <w:rFonts w:hint="eastAsia" w:ascii="黑体" w:hAnsi="宋体" w:eastAsia="黑体" w:cs="黑体"/>
                <w:b/>
                <w:bCs/>
                <w:color w:val="000000"/>
                <w:kern w:val="0"/>
                <w:sz w:val="32"/>
                <w:szCs w:val="32"/>
                <w:lang w:bidi="ar"/>
              </w:rPr>
              <w:t>平泉市国有黄土梁子林场2023年欠发达国有贫困林场项目投资概算表</w:t>
            </w:r>
          </w:p>
        </w:tc>
      </w:tr>
      <w:tr>
        <w:tblPrEx>
          <w:tblCellMar>
            <w:top w:w="0" w:type="dxa"/>
            <w:left w:w="108" w:type="dxa"/>
            <w:bottom w:w="0" w:type="dxa"/>
            <w:right w:w="108" w:type="dxa"/>
          </w:tblCellMar>
        </w:tblPrEx>
        <w:trPr>
          <w:trHeight w:val="315" w:hRule="atLeast"/>
        </w:trPr>
        <w:tc>
          <w:tcPr>
            <w:tcW w:w="3582" w:type="dxa"/>
            <w:gridSpan w:val="2"/>
            <w:tcBorders>
              <w:top w:val="nil"/>
              <w:left w:val="nil"/>
              <w:bottom w:val="nil"/>
              <w:right w:val="nil"/>
            </w:tcBorders>
            <w:shd w:val="clear" w:color="auto" w:fill="auto"/>
            <w:vAlign w:val="center"/>
          </w:tcPr>
          <w:p>
            <w:pPr>
              <w:jc w:val="left"/>
              <w:rPr>
                <w:rFonts w:ascii="黑体" w:hAnsi="宋体" w:eastAsia="黑体" w:cs="黑体"/>
                <w:color w:val="000000"/>
                <w:sz w:val="24"/>
              </w:rPr>
            </w:pPr>
          </w:p>
        </w:tc>
        <w:tc>
          <w:tcPr>
            <w:tcW w:w="1560" w:type="dxa"/>
            <w:tcBorders>
              <w:top w:val="nil"/>
              <w:left w:val="nil"/>
              <w:bottom w:val="nil"/>
              <w:right w:val="nil"/>
            </w:tcBorders>
            <w:shd w:val="clear" w:color="auto" w:fill="auto"/>
            <w:vAlign w:val="center"/>
          </w:tcPr>
          <w:p>
            <w:pPr>
              <w:jc w:val="left"/>
              <w:rPr>
                <w:rFonts w:ascii="宋体" w:hAnsi="宋体" w:eastAsia="宋体" w:cs="宋体"/>
                <w:color w:val="000000"/>
                <w:sz w:val="24"/>
              </w:rPr>
            </w:pPr>
          </w:p>
        </w:tc>
        <w:tc>
          <w:tcPr>
            <w:tcW w:w="1012" w:type="dxa"/>
            <w:tcBorders>
              <w:top w:val="nil"/>
              <w:left w:val="nil"/>
              <w:bottom w:val="nil"/>
              <w:right w:val="nil"/>
            </w:tcBorders>
            <w:shd w:val="clear" w:color="auto" w:fill="auto"/>
            <w:vAlign w:val="center"/>
          </w:tcPr>
          <w:p>
            <w:pPr>
              <w:jc w:val="left"/>
              <w:rPr>
                <w:rFonts w:ascii="宋体" w:hAnsi="宋体" w:eastAsia="宋体" w:cs="宋体"/>
                <w:color w:val="000000"/>
                <w:sz w:val="24"/>
              </w:rPr>
            </w:pPr>
          </w:p>
        </w:tc>
        <w:tc>
          <w:tcPr>
            <w:tcW w:w="885" w:type="dxa"/>
            <w:tcBorders>
              <w:top w:val="nil"/>
              <w:left w:val="nil"/>
              <w:bottom w:val="nil"/>
              <w:right w:val="nil"/>
            </w:tcBorders>
            <w:shd w:val="clear" w:color="auto" w:fill="auto"/>
            <w:vAlign w:val="center"/>
          </w:tcPr>
          <w:p>
            <w:pPr>
              <w:jc w:val="left"/>
              <w:rPr>
                <w:rFonts w:ascii="宋体" w:hAnsi="宋体" w:eastAsia="宋体" w:cs="宋体"/>
                <w:color w:val="000000"/>
                <w:sz w:val="24"/>
              </w:rPr>
            </w:pPr>
          </w:p>
        </w:tc>
        <w:tc>
          <w:tcPr>
            <w:tcW w:w="885" w:type="dxa"/>
            <w:tcBorders>
              <w:top w:val="nil"/>
              <w:left w:val="nil"/>
              <w:bottom w:val="nil"/>
              <w:right w:val="nil"/>
            </w:tcBorders>
            <w:shd w:val="clear" w:color="auto" w:fill="auto"/>
            <w:vAlign w:val="center"/>
          </w:tcPr>
          <w:p>
            <w:pPr>
              <w:jc w:val="left"/>
              <w:rPr>
                <w:rFonts w:ascii="宋体" w:hAnsi="宋体" w:eastAsia="宋体" w:cs="宋体"/>
                <w:color w:val="000000"/>
                <w:sz w:val="24"/>
              </w:rPr>
            </w:pPr>
          </w:p>
        </w:tc>
        <w:tc>
          <w:tcPr>
            <w:tcW w:w="855" w:type="dxa"/>
            <w:tcBorders>
              <w:top w:val="nil"/>
              <w:left w:val="nil"/>
              <w:bottom w:val="nil"/>
              <w:right w:val="nil"/>
            </w:tcBorders>
            <w:shd w:val="clear" w:color="auto" w:fill="auto"/>
            <w:vAlign w:val="bottom"/>
          </w:tcPr>
          <w:p>
            <w:pPr>
              <w:jc w:val="left"/>
              <w:rPr>
                <w:rFonts w:ascii="宋体" w:hAnsi="宋体" w:eastAsia="宋体" w:cs="宋体"/>
                <w:color w:val="000000"/>
                <w:sz w:val="24"/>
              </w:rPr>
            </w:pPr>
          </w:p>
        </w:tc>
        <w:tc>
          <w:tcPr>
            <w:tcW w:w="585" w:type="dxa"/>
            <w:tcBorders>
              <w:top w:val="nil"/>
              <w:left w:val="nil"/>
              <w:bottom w:val="nil"/>
              <w:right w:val="nil"/>
            </w:tcBorders>
            <w:shd w:val="clear" w:color="auto" w:fill="auto"/>
            <w:vAlign w:val="bottom"/>
          </w:tcPr>
          <w:p>
            <w:pPr>
              <w:jc w:val="left"/>
              <w:rPr>
                <w:rFonts w:ascii="宋体" w:hAnsi="宋体" w:eastAsia="宋体" w:cs="宋体"/>
                <w:color w:val="000000"/>
                <w:sz w:val="24"/>
              </w:rPr>
            </w:pPr>
          </w:p>
        </w:tc>
        <w:tc>
          <w:tcPr>
            <w:tcW w:w="758" w:type="dxa"/>
            <w:tcBorders>
              <w:top w:val="nil"/>
              <w:left w:val="nil"/>
              <w:bottom w:val="nil"/>
              <w:right w:val="nil"/>
            </w:tcBorders>
            <w:shd w:val="clear" w:color="auto" w:fill="auto"/>
            <w:vAlign w:val="bottom"/>
          </w:tcPr>
          <w:p>
            <w:pPr>
              <w:jc w:val="left"/>
              <w:rPr>
                <w:rFonts w:ascii="宋体" w:hAnsi="宋体" w:eastAsia="宋体" w:cs="宋体"/>
                <w:color w:val="000000"/>
                <w:sz w:val="24"/>
              </w:rPr>
            </w:pPr>
          </w:p>
        </w:tc>
        <w:tc>
          <w:tcPr>
            <w:tcW w:w="930" w:type="dxa"/>
            <w:tcBorders>
              <w:top w:val="nil"/>
              <w:left w:val="nil"/>
              <w:bottom w:val="nil"/>
              <w:right w:val="nil"/>
            </w:tcBorders>
            <w:shd w:val="clear" w:color="auto" w:fill="auto"/>
            <w:vAlign w:val="bottom"/>
          </w:tcPr>
          <w:p>
            <w:pPr>
              <w:jc w:val="left"/>
              <w:rPr>
                <w:rFonts w:ascii="宋体" w:hAnsi="宋体" w:eastAsia="宋体" w:cs="宋体"/>
                <w:color w:val="000000"/>
                <w:sz w:val="24"/>
              </w:rPr>
            </w:pPr>
          </w:p>
        </w:tc>
        <w:tc>
          <w:tcPr>
            <w:tcW w:w="2745" w:type="dxa"/>
            <w:gridSpan w:val="3"/>
            <w:tcBorders>
              <w:top w:val="nil"/>
              <w:left w:val="nil"/>
              <w:bottom w:val="nil"/>
              <w:right w:val="nil"/>
            </w:tcBorders>
            <w:shd w:val="clear" w:color="auto" w:fill="auto"/>
            <w:vAlign w:val="center"/>
          </w:tcPr>
          <w:p>
            <w:pPr>
              <w:widowControl/>
              <w:jc w:val="right"/>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单位：万元</w:t>
            </w:r>
          </w:p>
        </w:tc>
      </w:tr>
      <w:tr>
        <w:tblPrEx>
          <w:tblCellMar>
            <w:top w:w="0" w:type="dxa"/>
            <w:left w:w="108" w:type="dxa"/>
            <w:bottom w:w="0" w:type="dxa"/>
            <w:right w:w="108" w:type="dxa"/>
          </w:tblCellMar>
        </w:tblPrEx>
        <w:trPr>
          <w:trHeight w:val="600" w:hRule="atLeast"/>
        </w:trPr>
        <w:tc>
          <w:tcPr>
            <w:tcW w:w="45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序号</w:t>
            </w:r>
          </w:p>
        </w:tc>
        <w:tc>
          <w:tcPr>
            <w:tcW w:w="3126"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项目</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规格、型号</w:t>
            </w:r>
          </w:p>
        </w:tc>
        <w:tc>
          <w:tcPr>
            <w:tcW w:w="1012"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单位</w:t>
            </w:r>
          </w:p>
        </w:tc>
        <w:tc>
          <w:tcPr>
            <w:tcW w:w="8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单价</w:t>
            </w:r>
          </w:p>
        </w:tc>
        <w:tc>
          <w:tcPr>
            <w:tcW w:w="88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数量</w:t>
            </w:r>
          </w:p>
        </w:tc>
        <w:tc>
          <w:tcPr>
            <w:tcW w:w="85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投资</w:t>
            </w:r>
          </w:p>
        </w:tc>
        <w:tc>
          <w:tcPr>
            <w:tcW w:w="2273"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投资构成</w:t>
            </w:r>
          </w:p>
        </w:tc>
        <w:tc>
          <w:tcPr>
            <w:tcW w:w="2220" w:type="dxa"/>
            <w:gridSpan w:val="2"/>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ascii="仿宋_GB2312" w:hAnsi="宋体" w:eastAsia="仿宋_GB2312" w:cs="仿宋_GB2312"/>
                <w:color w:val="000000"/>
                <w:kern w:val="0"/>
                <w:sz w:val="24"/>
                <w:lang w:bidi="ar"/>
              </w:rPr>
              <w:t>资金来源</w:t>
            </w:r>
          </w:p>
        </w:tc>
        <w:tc>
          <w:tcPr>
            <w:tcW w:w="525" w:type="dxa"/>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备注</w:t>
            </w:r>
          </w:p>
        </w:tc>
      </w:tr>
      <w:tr>
        <w:tblPrEx>
          <w:tblCellMar>
            <w:top w:w="0" w:type="dxa"/>
            <w:left w:w="108" w:type="dxa"/>
            <w:bottom w:w="0" w:type="dxa"/>
            <w:right w:w="108" w:type="dxa"/>
          </w:tblCellMar>
        </w:tblPrEx>
        <w:trPr>
          <w:trHeight w:val="1088" w:hRule="atLeast"/>
        </w:trPr>
        <w:tc>
          <w:tcPr>
            <w:tcW w:w="45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3126"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（结构）</w:t>
            </w:r>
          </w:p>
        </w:tc>
        <w:tc>
          <w:tcPr>
            <w:tcW w:w="1012"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8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5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建安工程</w:t>
            </w: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设备购置</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其他</w:t>
            </w: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财政补助</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单位自筹</w:t>
            </w:r>
          </w:p>
        </w:tc>
        <w:tc>
          <w:tcPr>
            <w:tcW w:w="525" w:type="dxa"/>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2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ascii="仿宋_GB2312" w:hAnsi="宋体" w:eastAsia="仿宋_GB2312" w:cs="仿宋_GB2312"/>
                <w:b/>
                <w:bCs/>
                <w:color w:val="000000"/>
                <w:kern w:val="0"/>
                <w:sz w:val="24"/>
                <w:lang w:bidi="ar"/>
              </w:rPr>
              <w:t>合计</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仿宋_GB2312" w:hAnsi="宋体" w:eastAsia="仿宋_GB2312" w:cs="仿宋_GB2312"/>
                <w:b/>
                <w:bCs/>
                <w:color w:val="000000"/>
                <w:sz w:val="24"/>
                <w:lang w:val="en-US" w:eastAsia="zh-CN"/>
              </w:rPr>
            </w:pPr>
            <w:r>
              <w:rPr>
                <w:rFonts w:hint="eastAsia" w:ascii="仿宋_GB2312" w:hAnsi="宋体" w:eastAsia="仿宋_GB2312" w:cs="仿宋_GB2312"/>
                <w:b/>
                <w:bCs/>
                <w:color w:val="000000"/>
                <w:kern w:val="0"/>
                <w:sz w:val="24"/>
                <w:lang w:val="en-US" w:eastAsia="zh-CN" w:bidi="ar"/>
              </w:rPr>
              <w:t>198</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仿宋_GB2312" w:hAnsi="宋体" w:eastAsia="仿宋_GB2312" w:cs="仿宋_GB2312"/>
                <w:b/>
                <w:bCs/>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b/>
                <w:bCs/>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b/>
                <w:bCs/>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hint="default" w:ascii="仿宋_GB2312" w:hAnsi="宋体" w:eastAsia="仿宋_GB2312" w:cs="仿宋_GB2312"/>
                <w:b/>
                <w:bCs/>
                <w:color w:val="000000"/>
                <w:sz w:val="24"/>
                <w:lang w:val="en-US" w:eastAsia="zh-CN"/>
              </w:rPr>
            </w:pPr>
            <w:r>
              <w:rPr>
                <w:rFonts w:hint="eastAsia" w:ascii="仿宋_GB2312" w:hAnsi="宋体" w:eastAsia="仿宋_GB2312" w:cs="仿宋_GB2312"/>
                <w:b/>
                <w:bCs/>
                <w:color w:val="000000"/>
                <w:kern w:val="0"/>
                <w:sz w:val="24"/>
                <w:lang w:val="en-US" w:eastAsia="zh-CN" w:bidi="ar"/>
              </w:rPr>
              <w:t>198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b/>
                <w:bCs/>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b/>
                <w:bCs/>
                <w:color w:val="000000"/>
                <w:sz w:val="24"/>
              </w:rPr>
            </w:pPr>
          </w:p>
        </w:tc>
      </w:tr>
      <w:tr>
        <w:tblPrEx>
          <w:tblCellMar>
            <w:top w:w="0" w:type="dxa"/>
            <w:left w:w="108" w:type="dxa"/>
            <w:bottom w:w="0" w:type="dxa"/>
            <w:right w:w="108" w:type="dxa"/>
          </w:tblCellMar>
        </w:tblPrEx>
        <w:trPr>
          <w:trHeight w:val="540" w:hRule="atLeast"/>
        </w:trPr>
        <w:tc>
          <w:tcPr>
            <w:tcW w:w="358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仿宋_GB2312" w:hAnsi="宋体" w:eastAsia="仿宋_GB2312" w:cs="仿宋_GB2312"/>
                <w:color w:val="000000"/>
                <w:sz w:val="24"/>
              </w:rPr>
            </w:pPr>
            <w:r>
              <w:rPr>
                <w:rFonts w:hint="eastAsia" w:ascii="仿宋_GB2312" w:hAnsi="宋体" w:eastAsia="仿宋_GB2312" w:cs="仿宋_GB2312"/>
                <w:b/>
                <w:bCs/>
                <w:color w:val="000000"/>
                <w:sz w:val="24"/>
              </w:rPr>
              <w:t>一、生产建设工程</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sz w:val="24"/>
              </w:rPr>
              <w:t>198</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b/>
                <w:bCs/>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b/>
                <w:bCs/>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sz w:val="24"/>
              </w:rPr>
              <w:t>198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0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kern w:val="0"/>
                <w:sz w:val="24"/>
                <w:lang w:bidi="ar"/>
              </w:rPr>
              <w:t>1</w:t>
            </w: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sz w:val="24"/>
              </w:rPr>
              <w:t>林下经济种植</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ascii="仿宋_GB2312" w:hAnsi="宋体" w:eastAsia="仿宋_GB2312" w:cs="仿宋_GB2312"/>
                <w:b/>
                <w:bCs/>
                <w:color w:val="000000"/>
                <w:kern w:val="0"/>
                <w:sz w:val="24"/>
                <w:lang w:bidi="ar"/>
              </w:rPr>
              <w:t>1</w:t>
            </w:r>
            <w:r>
              <w:rPr>
                <w:rFonts w:hint="eastAsia" w:ascii="仿宋_GB2312" w:hAnsi="宋体" w:eastAsia="仿宋_GB2312" w:cs="仿宋_GB2312"/>
                <w:b/>
                <w:bCs/>
                <w:color w:val="000000"/>
                <w:kern w:val="0"/>
                <w:sz w:val="24"/>
                <w:lang w:bidi="ar"/>
              </w:rPr>
              <w:t>98</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kern w:val="0"/>
                <w:sz w:val="24"/>
                <w:lang w:bidi="ar"/>
              </w:rPr>
              <w:t>198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仿宋_GB2312" w:hAnsi="宋体" w:eastAsia="仿宋_GB2312" w:cs="仿宋_GB2312"/>
                <w:b/>
                <w:bCs/>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3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药材种子</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斤</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0.02</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3000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60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FF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FF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60</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9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化肥</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吨</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0.50</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36</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18</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18</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9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地膜</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0.02</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10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10</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9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整地</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0.08</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40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40</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9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栽植</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sz w:val="24"/>
              </w:rPr>
            </w:pPr>
            <w:r>
              <w:rPr>
                <w:rFonts w:hint="eastAsia" w:ascii="仿宋_GB2312" w:hAnsi="宋体" w:eastAsia="仿宋_GB2312" w:cs="仿宋_GB2312"/>
                <w:sz w:val="24"/>
              </w:rPr>
              <w:t>0.02</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10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10</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24"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病虫害防治（包括农药）</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sz w:val="24"/>
              </w:rPr>
            </w:pPr>
            <w:r>
              <w:rPr>
                <w:rFonts w:hint="eastAsia" w:ascii="仿宋_GB2312" w:hAnsi="宋体" w:eastAsia="仿宋_GB2312" w:cs="仿宋_GB2312"/>
                <w:sz w:val="24"/>
              </w:rPr>
              <w:t>0.03</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15</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Times New Roman" w:hAnsi="Times New Roman" w:eastAsia="宋体" w:cs="Times New Roman"/>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15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54"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除草</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sz w:val="24"/>
              </w:rPr>
            </w:pPr>
            <w:r>
              <w:rPr>
                <w:rFonts w:hint="eastAsia" w:ascii="仿宋_GB2312" w:hAnsi="宋体" w:eastAsia="仿宋_GB2312" w:cs="仿宋_GB2312"/>
                <w:sz w:val="24"/>
              </w:rPr>
              <w:t>0.05</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25</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Times New Roman" w:hAnsi="Times New Roman" w:eastAsia="宋体" w:cs="Times New Roman"/>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25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19"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施肥</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sz w:val="24"/>
              </w:rPr>
            </w:pPr>
            <w:r>
              <w:rPr>
                <w:rFonts w:ascii="仿宋_GB2312" w:hAnsi="宋体" w:eastAsia="仿宋_GB2312" w:cs="仿宋_GB2312"/>
                <w:kern w:val="0"/>
                <w:sz w:val="24"/>
                <w:lang w:bidi="ar"/>
              </w:rPr>
              <w:t>0.</w:t>
            </w:r>
            <w:r>
              <w:rPr>
                <w:rFonts w:hint="eastAsia" w:ascii="仿宋_GB2312" w:hAnsi="宋体" w:eastAsia="仿宋_GB2312" w:cs="仿宋_GB2312"/>
                <w:kern w:val="0"/>
                <w:sz w:val="24"/>
                <w:lang w:bidi="ar"/>
              </w:rPr>
              <w:t>02</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sz w:val="24"/>
              </w:rPr>
            </w:pPr>
            <w:r>
              <w:rPr>
                <w:rFonts w:hint="eastAsia" w:ascii="仿宋_GB2312" w:hAnsi="宋体" w:eastAsia="仿宋_GB2312" w:cs="仿宋_GB2312"/>
                <w:sz w:val="24"/>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10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Times New Roman" w:hAnsi="Times New Roman" w:eastAsia="宋体" w:cs="Times New Roman"/>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10</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19"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浇水</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亩</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kern w:val="0"/>
                <w:sz w:val="24"/>
                <w:lang w:bidi="ar"/>
              </w:rPr>
            </w:pPr>
            <w:r>
              <w:rPr>
                <w:rFonts w:ascii="仿宋_GB2312" w:hAnsi="宋体" w:eastAsia="仿宋_GB2312" w:cs="仿宋_GB2312"/>
                <w:kern w:val="0"/>
                <w:sz w:val="24"/>
                <w:lang w:bidi="ar"/>
              </w:rPr>
              <w:t>0</w:t>
            </w:r>
            <w:r>
              <w:rPr>
                <w:rFonts w:hint="eastAsia" w:ascii="仿宋_GB2312" w:hAnsi="宋体" w:eastAsia="仿宋_GB2312" w:cs="仿宋_GB2312"/>
                <w:kern w:val="0"/>
                <w:sz w:val="24"/>
                <w:lang w:bidi="ar"/>
              </w:rPr>
              <w:t>.02</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11"/>
                <w:szCs w:val="11"/>
              </w:rPr>
            </w:pPr>
            <w:r>
              <w:rPr>
                <w:rFonts w:hint="eastAsia" w:ascii="仿宋_GB2312" w:hAnsi="宋体" w:eastAsia="仿宋_GB2312" w:cs="仿宋_GB2312"/>
                <w:color w:val="000000"/>
                <w:sz w:val="24"/>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10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Times New Roman" w:hAnsi="Times New Roman" w:eastAsia="宋体" w:cs="Times New Roman"/>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10</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445" w:hRule="atLeast"/>
        </w:trPr>
        <w:tc>
          <w:tcPr>
            <w:tcW w:w="358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left"/>
              <w:textAlignment w:val="center"/>
              <w:rPr>
                <w:rFonts w:ascii="仿宋_GB2312" w:hAnsi="宋体" w:eastAsia="仿宋_GB2312" w:cs="仿宋_GB2312"/>
                <w:b/>
                <w:bCs/>
                <w:color w:val="000000"/>
                <w:kern w:val="0"/>
                <w:sz w:val="24"/>
                <w:lang w:bidi="ar"/>
              </w:rPr>
            </w:pPr>
            <w:r>
              <w:rPr>
                <w:rFonts w:hint="eastAsia" w:ascii="仿宋_GB2312" w:hAnsi="宋体" w:eastAsia="仿宋_GB2312" w:cs="仿宋_GB2312"/>
                <w:b/>
                <w:bCs/>
                <w:color w:val="000000"/>
                <w:kern w:val="0"/>
                <w:sz w:val="24"/>
                <w:lang w:bidi="ar"/>
              </w:rPr>
              <w:t>二、生产辅助工程</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kern w:val="0"/>
                <w:sz w:val="24"/>
                <w:lang w:bidi="ar"/>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kern w:val="0"/>
                <w:sz w:val="24"/>
                <w:lang w:bidi="ar"/>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kern w:val="0"/>
                <w:sz w:val="24"/>
                <w:lang w:bidi="ar"/>
              </w:rPr>
            </w:pPr>
            <w:r>
              <w:rPr>
                <w:rFonts w:hint="eastAsia" w:ascii="仿宋_GB2312" w:hAnsi="宋体" w:eastAsia="仿宋_GB2312" w:cs="仿宋_GB2312"/>
                <w:b/>
                <w:bCs/>
                <w:color w:val="000000"/>
                <w:kern w:val="0"/>
                <w:sz w:val="24"/>
                <w:lang w:bidi="ar"/>
              </w:rPr>
              <w:t>130</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Times New Roman" w:hAnsi="Times New Roman" w:eastAsia="宋体" w:cs="Times New Roman"/>
                <w:b/>
                <w:bCs/>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b/>
                <w:bCs/>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b/>
                <w:bCs/>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kern w:val="0"/>
                <w:sz w:val="24"/>
                <w:lang w:bidi="ar"/>
              </w:rPr>
            </w:pPr>
            <w:r>
              <w:rPr>
                <w:rFonts w:hint="eastAsia" w:ascii="仿宋_GB2312" w:hAnsi="宋体" w:eastAsia="仿宋_GB2312" w:cs="仿宋_GB2312"/>
                <w:b/>
                <w:bCs/>
                <w:color w:val="000000"/>
                <w:kern w:val="0"/>
                <w:sz w:val="24"/>
                <w:lang w:bidi="ar"/>
              </w:rPr>
              <w:t>130</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b/>
                <w:bCs/>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b/>
                <w:bCs/>
                <w:color w:val="000000"/>
                <w:sz w:val="24"/>
              </w:rPr>
            </w:pPr>
          </w:p>
        </w:tc>
      </w:tr>
      <w:tr>
        <w:tblPrEx>
          <w:tblCellMar>
            <w:top w:w="0" w:type="dxa"/>
            <w:left w:w="108" w:type="dxa"/>
            <w:bottom w:w="0" w:type="dxa"/>
            <w:right w:w="108" w:type="dxa"/>
          </w:tblCellMar>
        </w:tblPrEx>
        <w:trPr>
          <w:trHeight w:val="460"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ascii="仿宋_GB2312" w:hAnsi="宋体" w:eastAsia="仿宋_GB2312" w:cs="仿宋_GB2312"/>
                <w:b/>
                <w:bCs/>
                <w:color w:val="000000"/>
                <w:kern w:val="0"/>
                <w:sz w:val="24"/>
                <w:lang w:bidi="ar"/>
              </w:rPr>
              <w:t>1</w:t>
            </w: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kern w:val="0"/>
                <w:szCs w:val="21"/>
                <w:lang w:bidi="ar"/>
              </w:rPr>
              <w:t>生产管护用房</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kern w:val="0"/>
                <w:sz w:val="24"/>
                <w:lang w:bidi="ar"/>
              </w:rPr>
              <w:t>73</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kern w:val="0"/>
                <w:sz w:val="24"/>
                <w:lang w:bidi="ar"/>
              </w:rPr>
              <w:t>73</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仿宋_GB2312" w:hAnsi="宋体" w:eastAsia="仿宋_GB2312" w:cs="仿宋_GB2312"/>
                <w:b/>
                <w:bCs/>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530"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生产</w:t>
            </w:r>
            <w:r>
              <w:rPr>
                <w:rFonts w:ascii="仿宋_GB2312" w:hAnsi="宋体" w:eastAsia="仿宋_GB2312" w:cs="仿宋_GB2312"/>
                <w:color w:val="000000"/>
                <w:kern w:val="0"/>
                <w:sz w:val="24"/>
                <w:lang w:bidi="ar"/>
              </w:rPr>
              <w:t>管护</w:t>
            </w:r>
            <w:r>
              <w:rPr>
                <w:rFonts w:hint="eastAsia" w:ascii="仿宋_GB2312" w:hAnsi="宋体" w:eastAsia="仿宋_GB2312" w:cs="仿宋_GB2312"/>
                <w:color w:val="000000"/>
                <w:kern w:val="0"/>
                <w:sz w:val="24"/>
                <w:lang w:bidi="ar"/>
              </w:rPr>
              <w:t>用房</w:t>
            </w:r>
            <w:r>
              <w:rPr>
                <w:rFonts w:ascii="仿宋_GB2312" w:hAnsi="宋体" w:eastAsia="仿宋_GB2312" w:cs="仿宋_GB2312"/>
                <w:color w:val="000000"/>
                <w:kern w:val="0"/>
                <w:sz w:val="24"/>
                <w:lang w:bidi="ar"/>
              </w:rPr>
              <w:t>建</w:t>
            </w:r>
            <w:r>
              <w:rPr>
                <w:rFonts w:hint="eastAsia" w:ascii="仿宋_GB2312" w:hAnsi="宋体" w:eastAsia="仿宋_GB2312" w:cs="仿宋_GB2312"/>
                <w:color w:val="000000"/>
                <w:kern w:val="0"/>
                <w:sz w:val="24"/>
                <w:lang w:bidi="ar"/>
              </w:rPr>
              <w:t>设</w:t>
            </w:r>
            <w:r>
              <w:rPr>
                <w:rFonts w:ascii="仿宋_GB2312" w:hAnsi="宋体" w:eastAsia="仿宋_GB2312" w:cs="仿宋_GB2312"/>
                <w:color w:val="000000"/>
                <w:kern w:val="0"/>
                <w:sz w:val="24"/>
                <w:lang w:bidi="ar"/>
              </w:rPr>
              <w:t>工程</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砖瓦混凝土</w:t>
            </w: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平方米</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ascii="仿宋_GB2312" w:hAnsi="宋体" w:eastAsia="仿宋_GB2312" w:cs="仿宋_GB2312"/>
                <w:color w:val="000000"/>
                <w:kern w:val="0"/>
                <w:sz w:val="24"/>
                <w:lang w:bidi="ar"/>
              </w:rPr>
              <w:t>0.</w:t>
            </w:r>
            <w:r>
              <w:rPr>
                <w:rFonts w:hint="eastAsia" w:ascii="仿宋_GB2312" w:hAnsi="宋体" w:eastAsia="仿宋_GB2312" w:cs="仿宋_GB2312"/>
                <w:color w:val="000000"/>
                <w:kern w:val="0"/>
                <w:sz w:val="24"/>
                <w:lang w:bidi="ar"/>
              </w:rPr>
              <w:t>30</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150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45</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FF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FF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45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490"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拆除原建筑设施</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1</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3</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3</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1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基础</w:t>
            </w:r>
            <w:r>
              <w:rPr>
                <w:rFonts w:ascii="仿宋_GB2312" w:hAnsi="宋体" w:eastAsia="仿宋_GB2312" w:cs="仿宋_GB2312"/>
                <w:color w:val="000000"/>
                <w:kern w:val="0"/>
                <w:sz w:val="24"/>
                <w:lang w:bidi="ar"/>
              </w:rPr>
              <w:t>配套</w:t>
            </w:r>
            <w:r>
              <w:rPr>
                <w:rFonts w:hint="eastAsia" w:ascii="仿宋_GB2312" w:hAnsi="宋体" w:eastAsia="仿宋_GB2312" w:cs="仿宋_GB2312"/>
                <w:color w:val="000000"/>
                <w:kern w:val="0"/>
                <w:sz w:val="24"/>
                <w:lang w:bidi="ar"/>
              </w:rPr>
              <w:t>设施</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ascii="仿宋_GB2312" w:hAnsi="宋体" w:eastAsia="仿宋_GB2312" w:cs="仿宋_GB2312"/>
                <w:color w:val="000000"/>
                <w:kern w:val="0"/>
                <w:sz w:val="24"/>
                <w:lang w:bidi="ar"/>
              </w:rPr>
              <w:t>套</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1</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25</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bottom"/>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25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1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ascii="仿宋_GB2312" w:hAnsi="宋体" w:eastAsia="仿宋_GB2312" w:cs="仿宋_GB2312"/>
                <w:b/>
                <w:bCs/>
                <w:color w:val="000000"/>
                <w:kern w:val="0"/>
                <w:sz w:val="24"/>
                <w:lang w:bidi="ar"/>
              </w:rPr>
              <w:t>2</w:t>
            </w: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sz w:val="24"/>
              </w:rPr>
              <w:t>生产用电</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sz w:val="24"/>
              </w:rPr>
              <w:t>57</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b/>
                <w:bCs/>
                <w:color w:val="000000"/>
                <w:sz w:val="24"/>
              </w:rPr>
            </w:pPr>
            <w:r>
              <w:rPr>
                <w:rFonts w:hint="eastAsia" w:ascii="仿宋_GB2312" w:hAnsi="宋体" w:eastAsia="仿宋_GB2312" w:cs="仿宋_GB2312"/>
                <w:b/>
                <w:bCs/>
                <w:color w:val="000000"/>
                <w:sz w:val="24"/>
              </w:rPr>
              <w:t>57</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ascii="仿宋_GB2312" w:hAnsi="宋体" w:eastAsia="仿宋_GB2312" w:cs="仿宋_GB2312"/>
                <w:b/>
                <w:bCs/>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1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kern w:val="0"/>
                <w:sz w:val="24"/>
                <w:lang w:bidi="ar"/>
              </w:rPr>
            </w:pPr>
            <w:r>
              <w:rPr>
                <w:rFonts w:hint="eastAsia" w:ascii="仿宋_GB2312" w:hAnsi="宋体" w:eastAsia="仿宋_GB2312" w:cs="仿宋_GB2312"/>
                <w:color w:val="000000"/>
                <w:kern w:val="0"/>
                <w:sz w:val="24"/>
                <w:lang w:bidi="ar"/>
              </w:rPr>
              <w:t>高压接火开口及计量器付费</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textAlignment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kern w:val="0"/>
                <w:sz w:val="24"/>
                <w:lang w:bidi="ar"/>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kern w:val="0"/>
                <w:sz w:val="24"/>
                <w:lang w:bidi="ar"/>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4</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FF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FF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4</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1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高（低）压线路材料费</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textAlignment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公里</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6</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3.5</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21</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rPr>
                <w:rFonts w:ascii="仿宋_GB2312" w:hAnsi="宋体" w:eastAsia="仿宋_GB2312" w:cs="仿宋_GB2312"/>
                <w:color w:val="FF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FF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21</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1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变压器、电箱及批复费</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bottom"/>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25</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bottom"/>
              <w:rPr>
                <w:rFonts w:ascii="仿宋_GB2312" w:hAnsi="宋体" w:eastAsia="仿宋_GB2312" w:cs="仿宋_GB2312"/>
                <w:color w:val="000000"/>
                <w:sz w:val="24"/>
              </w:rPr>
            </w:pPr>
            <w:r>
              <w:rPr>
                <w:rFonts w:hint="eastAsia" w:ascii="仿宋_GB2312" w:hAnsi="宋体" w:eastAsia="仿宋_GB2312" w:cs="仿宋_GB2312"/>
                <w:color w:val="000000"/>
                <w:sz w:val="24"/>
              </w:rPr>
              <w:t>25</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r>
      <w:tr>
        <w:tblPrEx>
          <w:tblCellMar>
            <w:top w:w="0" w:type="dxa"/>
            <w:left w:w="108" w:type="dxa"/>
            <w:bottom w:w="0" w:type="dxa"/>
            <w:right w:w="108" w:type="dxa"/>
          </w:tblCellMar>
        </w:tblPrEx>
        <w:trPr>
          <w:trHeight w:val="615" w:hRule="atLeast"/>
        </w:trPr>
        <w:tc>
          <w:tcPr>
            <w:tcW w:w="45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b/>
                <w:bCs/>
                <w:color w:val="000000"/>
                <w:sz w:val="24"/>
              </w:rPr>
            </w:pPr>
          </w:p>
        </w:tc>
        <w:tc>
          <w:tcPr>
            <w:tcW w:w="312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kern w:val="0"/>
                <w:sz w:val="24"/>
                <w:lang w:bidi="ar"/>
              </w:rPr>
              <w:t>安装施工人工费</w:t>
            </w:r>
          </w:p>
        </w:tc>
        <w:tc>
          <w:tcPr>
            <w:tcW w:w="156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r>
              <w:rPr>
                <w:rFonts w:hint="eastAsia" w:ascii="仿宋_GB2312" w:hAnsi="宋体" w:eastAsia="仿宋_GB2312" w:cs="仿宋_GB2312"/>
                <w:color w:val="000000"/>
                <w:sz w:val="24"/>
              </w:rPr>
              <w:t>按照材料费的33%计算</w:t>
            </w:r>
          </w:p>
        </w:tc>
        <w:tc>
          <w:tcPr>
            <w:tcW w:w="101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7</w:t>
            </w:r>
          </w:p>
        </w:tc>
        <w:tc>
          <w:tcPr>
            <w:tcW w:w="58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ascii="仿宋_GB2312" w:hAnsi="宋体" w:eastAsia="仿宋_GB2312" w:cs="仿宋_GB2312"/>
                <w:color w:val="000000"/>
                <w:sz w:val="24"/>
              </w:rPr>
            </w:pPr>
          </w:p>
        </w:tc>
        <w:tc>
          <w:tcPr>
            <w:tcW w:w="758"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center"/>
              <w:rPr>
                <w:rFonts w:ascii="仿宋_GB2312" w:hAnsi="宋体" w:eastAsia="仿宋_GB2312" w:cs="仿宋_GB2312"/>
                <w:color w:val="000000"/>
                <w:sz w:val="24"/>
              </w:rPr>
            </w:pPr>
          </w:p>
        </w:tc>
        <w:tc>
          <w:tcPr>
            <w:tcW w:w="13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jc w:val="center"/>
              <w:textAlignment w:val="center"/>
              <w:rPr>
                <w:rFonts w:ascii="仿宋_GB2312" w:hAnsi="宋体" w:eastAsia="仿宋_GB2312" w:cs="仿宋_GB2312"/>
                <w:color w:val="000000"/>
                <w:sz w:val="24"/>
              </w:rPr>
            </w:pPr>
            <w:r>
              <w:rPr>
                <w:rFonts w:hint="eastAsia" w:ascii="仿宋_GB2312" w:hAnsi="宋体" w:eastAsia="仿宋_GB2312" w:cs="仿宋_GB2312"/>
                <w:color w:val="000000"/>
                <w:sz w:val="24"/>
              </w:rPr>
              <w:t>7</w:t>
            </w:r>
          </w:p>
        </w:tc>
        <w:tc>
          <w:tcPr>
            <w:tcW w:w="870"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c>
          <w:tcPr>
            <w:tcW w:w="525" w:type="dxa"/>
            <w:tcBorders>
              <w:top w:val="single" w:color="000000" w:sz="4" w:space="0"/>
              <w:left w:val="single" w:color="000000" w:sz="4" w:space="0"/>
              <w:bottom w:val="single" w:color="000000" w:sz="4" w:space="0"/>
              <w:right w:val="single" w:color="000000" w:sz="4" w:space="0"/>
            </w:tcBorders>
            <w:shd w:val="clear" w:color="auto" w:fill="auto"/>
            <w:vAlign w:val="bottom"/>
          </w:tcPr>
          <w:p>
            <w:pPr>
              <w:jc w:val="left"/>
              <w:rPr>
                <w:rFonts w:ascii="仿宋_GB2312" w:hAnsi="宋体" w:eastAsia="仿宋_GB2312" w:cs="仿宋_GB2312"/>
                <w:color w:val="000000"/>
                <w:sz w:val="24"/>
              </w:rPr>
            </w:pPr>
          </w:p>
        </w:tc>
      </w:tr>
    </w:tbl>
    <w:p>
      <w:pPr>
        <w:pStyle w:val="2"/>
        <w:rPr>
          <w:rFonts w:ascii="仿宋" w:hAnsi="仿宋" w:eastAsia="仿宋" w:cs="仿宋"/>
          <w:szCs w:val="32"/>
        </w:rPr>
        <w:sectPr>
          <w:pgSz w:w="16838" w:h="11906" w:orient="landscape"/>
          <w:pgMar w:top="1800" w:right="1440" w:bottom="1800" w:left="1440" w:header="851" w:footer="992" w:gutter="0"/>
          <w:cols w:space="425" w:num="1"/>
          <w:docGrid w:type="lines" w:linePitch="312" w:charSpace="0"/>
        </w:sectPr>
      </w:pPr>
    </w:p>
    <w:tbl>
      <w:tblPr>
        <w:tblStyle w:val="14"/>
        <w:tblW w:w="8429" w:type="dxa"/>
        <w:tblInd w:w="93" w:type="dxa"/>
        <w:tblLayout w:type="fixed"/>
        <w:tblCellMar>
          <w:top w:w="0" w:type="dxa"/>
          <w:left w:w="108" w:type="dxa"/>
          <w:bottom w:w="0" w:type="dxa"/>
          <w:right w:w="108" w:type="dxa"/>
        </w:tblCellMar>
      </w:tblPr>
      <w:tblGrid>
        <w:gridCol w:w="606"/>
        <w:gridCol w:w="1080"/>
        <w:gridCol w:w="1305"/>
        <w:gridCol w:w="1710"/>
        <w:gridCol w:w="3075"/>
        <w:gridCol w:w="653"/>
      </w:tblGrid>
      <w:tr>
        <w:tblPrEx>
          <w:tblCellMar>
            <w:top w:w="0" w:type="dxa"/>
            <w:left w:w="108" w:type="dxa"/>
            <w:bottom w:w="0" w:type="dxa"/>
            <w:right w:w="108" w:type="dxa"/>
          </w:tblCellMar>
        </w:tblPrEx>
        <w:trPr>
          <w:trHeight w:val="192" w:hRule="atLeast"/>
        </w:trPr>
        <w:tc>
          <w:tcPr>
            <w:tcW w:w="1686" w:type="dxa"/>
            <w:gridSpan w:val="2"/>
            <w:tcBorders>
              <w:top w:val="nil"/>
              <w:left w:val="nil"/>
              <w:bottom w:val="nil"/>
              <w:right w:val="nil"/>
            </w:tcBorders>
            <w:shd w:val="clear" w:color="auto" w:fill="auto"/>
            <w:noWrap/>
            <w:vAlign w:val="bottom"/>
          </w:tcPr>
          <w:p>
            <w:pPr>
              <w:rPr>
                <w:rFonts w:ascii="Arial" w:hAnsi="Arial" w:cs="Arial"/>
                <w:color w:val="000000"/>
                <w:sz w:val="20"/>
                <w:szCs w:val="20"/>
              </w:rPr>
            </w:pPr>
            <w:r>
              <w:rPr>
                <w:rFonts w:hint="eastAsia" w:ascii="宋体" w:hAnsi="宋体" w:eastAsia="宋体" w:cs="宋体"/>
                <w:color w:val="000000"/>
                <w:kern w:val="0"/>
                <w:sz w:val="22"/>
                <w:szCs w:val="22"/>
                <w:lang w:bidi="ar"/>
              </w:rPr>
              <w:t>附表3</w:t>
            </w:r>
          </w:p>
        </w:tc>
        <w:tc>
          <w:tcPr>
            <w:tcW w:w="1305" w:type="dxa"/>
            <w:tcBorders>
              <w:top w:val="nil"/>
              <w:left w:val="nil"/>
              <w:bottom w:val="nil"/>
              <w:right w:val="nil"/>
            </w:tcBorders>
            <w:shd w:val="clear" w:color="auto" w:fill="auto"/>
            <w:noWrap/>
            <w:vAlign w:val="bottom"/>
          </w:tcPr>
          <w:p>
            <w:pPr>
              <w:rPr>
                <w:rFonts w:ascii="Arial" w:hAnsi="Arial" w:cs="Arial"/>
                <w:color w:val="000000"/>
                <w:sz w:val="20"/>
                <w:szCs w:val="20"/>
              </w:rPr>
            </w:pPr>
          </w:p>
        </w:tc>
        <w:tc>
          <w:tcPr>
            <w:tcW w:w="1710" w:type="dxa"/>
            <w:tcBorders>
              <w:top w:val="nil"/>
              <w:left w:val="nil"/>
              <w:bottom w:val="nil"/>
              <w:right w:val="nil"/>
            </w:tcBorders>
            <w:shd w:val="clear" w:color="auto" w:fill="auto"/>
            <w:noWrap/>
            <w:vAlign w:val="bottom"/>
          </w:tcPr>
          <w:p>
            <w:pPr>
              <w:rPr>
                <w:rFonts w:ascii="Arial" w:hAnsi="Arial" w:cs="Arial"/>
                <w:color w:val="000000"/>
                <w:sz w:val="20"/>
                <w:szCs w:val="20"/>
              </w:rPr>
            </w:pPr>
          </w:p>
        </w:tc>
        <w:tc>
          <w:tcPr>
            <w:tcW w:w="3075" w:type="dxa"/>
            <w:tcBorders>
              <w:top w:val="nil"/>
              <w:left w:val="nil"/>
              <w:bottom w:val="nil"/>
              <w:right w:val="nil"/>
            </w:tcBorders>
            <w:shd w:val="clear" w:color="auto" w:fill="auto"/>
            <w:noWrap/>
            <w:vAlign w:val="bottom"/>
          </w:tcPr>
          <w:p>
            <w:pPr>
              <w:rPr>
                <w:rFonts w:ascii="Arial" w:hAnsi="Arial" w:cs="Arial"/>
                <w:color w:val="000000"/>
                <w:sz w:val="20"/>
                <w:szCs w:val="20"/>
              </w:rPr>
            </w:pPr>
          </w:p>
        </w:tc>
        <w:tc>
          <w:tcPr>
            <w:tcW w:w="653" w:type="dxa"/>
            <w:tcBorders>
              <w:top w:val="nil"/>
              <w:left w:val="nil"/>
              <w:bottom w:val="nil"/>
              <w:right w:val="nil"/>
            </w:tcBorders>
            <w:shd w:val="clear" w:color="auto" w:fill="auto"/>
            <w:noWrap/>
            <w:vAlign w:val="bottom"/>
          </w:tcPr>
          <w:p>
            <w:pPr>
              <w:rPr>
                <w:rFonts w:ascii="Arial" w:hAnsi="Arial" w:cs="Arial"/>
                <w:color w:val="000000"/>
                <w:sz w:val="20"/>
                <w:szCs w:val="20"/>
              </w:rPr>
            </w:pPr>
          </w:p>
        </w:tc>
      </w:tr>
      <w:tr>
        <w:tblPrEx>
          <w:tblCellMar>
            <w:top w:w="0" w:type="dxa"/>
            <w:left w:w="108" w:type="dxa"/>
            <w:bottom w:w="0" w:type="dxa"/>
            <w:right w:w="108" w:type="dxa"/>
          </w:tblCellMar>
        </w:tblPrEx>
        <w:trPr>
          <w:trHeight w:val="479" w:hRule="atLeast"/>
        </w:trPr>
        <w:tc>
          <w:tcPr>
            <w:tcW w:w="8429" w:type="dxa"/>
            <w:gridSpan w:val="6"/>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b/>
                <w:bCs/>
                <w:color w:val="000000"/>
                <w:sz w:val="32"/>
                <w:szCs w:val="32"/>
              </w:rPr>
            </w:pPr>
            <w:r>
              <w:rPr>
                <w:rFonts w:hint="eastAsia" w:ascii="宋体" w:hAnsi="宋体" w:eastAsia="宋体" w:cs="宋体"/>
                <w:b/>
                <w:bCs/>
                <w:color w:val="000000"/>
                <w:kern w:val="0"/>
                <w:sz w:val="28"/>
                <w:szCs w:val="28"/>
                <w:lang w:bidi="ar"/>
              </w:rPr>
              <w:t>项目绩效目标表</w:t>
            </w:r>
          </w:p>
        </w:tc>
      </w:tr>
      <w:tr>
        <w:tblPrEx>
          <w:tblCellMar>
            <w:top w:w="0" w:type="dxa"/>
            <w:left w:w="108" w:type="dxa"/>
            <w:bottom w:w="0" w:type="dxa"/>
            <w:right w:w="108" w:type="dxa"/>
          </w:tblCellMar>
        </w:tblPrEx>
        <w:trPr>
          <w:trHeight w:val="323" w:hRule="atLeast"/>
        </w:trPr>
        <w:tc>
          <w:tcPr>
            <w:tcW w:w="8429" w:type="dxa"/>
            <w:gridSpan w:val="6"/>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2023年度</w:t>
            </w:r>
          </w:p>
        </w:tc>
      </w:tr>
      <w:tr>
        <w:tblPrEx>
          <w:tblCellMar>
            <w:top w:w="0" w:type="dxa"/>
            <w:left w:w="108" w:type="dxa"/>
            <w:bottom w:w="0" w:type="dxa"/>
            <w:right w:w="108" w:type="dxa"/>
          </w:tblCellMar>
        </w:tblPrEx>
        <w:trPr>
          <w:trHeight w:val="379" w:hRule="atLeast"/>
        </w:trPr>
        <w:tc>
          <w:tcPr>
            <w:tcW w:w="2991"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项目名称</w:t>
            </w:r>
          </w:p>
        </w:tc>
        <w:tc>
          <w:tcPr>
            <w:tcW w:w="5438"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2023年度欠发达国有林场林下经济产业建设项目</w:t>
            </w:r>
          </w:p>
        </w:tc>
      </w:tr>
      <w:tr>
        <w:tblPrEx>
          <w:tblCellMar>
            <w:top w:w="0" w:type="dxa"/>
            <w:left w:w="108" w:type="dxa"/>
            <w:bottom w:w="0" w:type="dxa"/>
            <w:right w:w="108" w:type="dxa"/>
          </w:tblCellMar>
        </w:tblPrEx>
        <w:trPr>
          <w:trHeight w:val="379" w:hRule="atLeast"/>
        </w:trPr>
        <w:tc>
          <w:tcPr>
            <w:tcW w:w="2991"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申请单位名称</w:t>
            </w:r>
          </w:p>
        </w:tc>
        <w:tc>
          <w:tcPr>
            <w:tcW w:w="5438" w:type="dxa"/>
            <w:gridSpan w:val="3"/>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平泉市国有黄土梁子林场</w:t>
            </w:r>
          </w:p>
        </w:tc>
      </w:tr>
      <w:tr>
        <w:tblPrEx>
          <w:tblCellMar>
            <w:top w:w="0" w:type="dxa"/>
            <w:left w:w="108" w:type="dxa"/>
            <w:bottom w:w="0" w:type="dxa"/>
            <w:right w:w="108" w:type="dxa"/>
          </w:tblCellMar>
        </w:tblPrEx>
        <w:trPr>
          <w:trHeight w:val="379" w:hRule="atLeast"/>
        </w:trPr>
        <w:tc>
          <w:tcPr>
            <w:tcW w:w="2991" w:type="dxa"/>
            <w:gridSpan w:val="3"/>
            <w:tcBorders>
              <w:top w:val="nil"/>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申请年度资金额度（万元）</w:t>
            </w:r>
          </w:p>
        </w:tc>
        <w:tc>
          <w:tcPr>
            <w:tcW w:w="5438" w:type="dxa"/>
            <w:gridSpan w:val="3"/>
            <w:tcBorders>
              <w:top w:val="nil"/>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sz w:val="20"/>
                <w:szCs w:val="20"/>
              </w:rPr>
              <w:t>328</w:t>
            </w:r>
          </w:p>
        </w:tc>
      </w:tr>
      <w:tr>
        <w:tblPrEx>
          <w:tblCellMar>
            <w:top w:w="0" w:type="dxa"/>
            <w:left w:w="108" w:type="dxa"/>
            <w:bottom w:w="0" w:type="dxa"/>
            <w:right w:w="108" w:type="dxa"/>
          </w:tblCellMar>
        </w:tblPrEx>
        <w:trPr>
          <w:trHeight w:val="312" w:hRule="atLeast"/>
        </w:trPr>
        <w:tc>
          <w:tcPr>
            <w:tcW w:w="606" w:type="dxa"/>
            <w:vMerge w:val="restart"/>
            <w:tcBorders>
              <w:top w:val="single" w:color="000000" w:sz="4" w:space="0"/>
              <w:left w:val="single" w:color="000000" w:sz="4" w:space="0"/>
              <w:bottom w:val="single" w:color="000000" w:sz="4" w:space="0"/>
              <w:right w:val="single" w:color="000000" w:sz="4" w:space="0"/>
            </w:tcBorders>
            <w:shd w:val="clear" w:color="auto" w:fill="FFFFFF"/>
            <w:noWrap/>
          </w:tcPr>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年</w:t>
            </w:r>
          </w:p>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度</w:t>
            </w:r>
          </w:p>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总</w:t>
            </w:r>
          </w:p>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体</w:t>
            </w:r>
          </w:p>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目</w:t>
            </w:r>
          </w:p>
          <w:p>
            <w:pPr>
              <w:widowControl/>
              <w:jc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标</w:t>
            </w:r>
          </w:p>
        </w:tc>
        <w:tc>
          <w:tcPr>
            <w:tcW w:w="7823" w:type="dxa"/>
            <w:gridSpan w:val="5"/>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pStyle w:val="2"/>
              <w:ind w:firstLine="400" w:firstLineChars="200"/>
              <w:rPr>
                <w:rFonts w:hAnsi="宋体" w:eastAsia="宋体" w:cs="宋体"/>
                <w:color w:val="000000"/>
                <w:kern w:val="0"/>
                <w:sz w:val="20"/>
                <w:szCs w:val="20"/>
                <w:lang w:bidi="ar"/>
              </w:rPr>
            </w:pPr>
            <w:r>
              <w:rPr>
                <w:rFonts w:hint="eastAsia" w:hAnsi="宋体" w:eastAsia="宋体" w:cs="宋体"/>
                <w:color w:val="000000"/>
                <w:kern w:val="0"/>
                <w:sz w:val="20"/>
                <w:szCs w:val="20"/>
                <w:lang w:bidi="ar"/>
              </w:rPr>
              <w:t>以森林景观为依托，结合国家刺槐良种基地建设，林下种植药材苍术500亩，探索“林上+林下”复合立体森林经营模式，建设林下种植示范基地，以点带面，辐射带动周边地区林业产业发展，解决当地劳动就业20人以上，促进林场可持续发展经营。架设高压输电线路2.5km，低压输电线路1.0km，安装变压器1台。在刺槐良种基地附近的南梁社区建设林下种植药材生产管护用房1处，建设面积150平方米，建设基础设施1套。</w:t>
            </w:r>
          </w:p>
          <w:p>
            <w:pPr>
              <w:pStyle w:val="2"/>
              <w:rPr>
                <w:rFonts w:hAnsi="宋体" w:eastAsia="宋体" w:cs="宋体"/>
                <w:color w:val="000000"/>
                <w:sz w:val="20"/>
                <w:szCs w:val="20"/>
              </w:rPr>
            </w:pPr>
            <w:r>
              <w:rPr>
                <w:rFonts w:hint="eastAsia" w:hAnsi="宋体" w:eastAsia="宋体" w:cs="宋体"/>
                <w:color w:val="000000"/>
                <w:kern w:val="0"/>
                <w:sz w:val="20"/>
                <w:szCs w:val="20"/>
                <w:lang w:bidi="ar"/>
              </w:rPr>
              <w:t>三年后纯收益预计达到270万元以上。</w:t>
            </w:r>
          </w:p>
        </w:tc>
      </w:tr>
      <w:tr>
        <w:tblPrEx>
          <w:tblCellMar>
            <w:top w:w="0" w:type="dxa"/>
            <w:left w:w="108" w:type="dxa"/>
            <w:bottom w:w="0" w:type="dxa"/>
            <w:right w:w="108" w:type="dxa"/>
          </w:tblCellMar>
        </w:tblPrEx>
        <w:trPr>
          <w:trHeight w:val="312"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noWrap/>
          </w:tcPr>
          <w:p>
            <w:pPr>
              <w:jc w:val="center"/>
              <w:rPr>
                <w:rFonts w:ascii="宋体" w:hAnsi="宋体" w:eastAsia="宋体" w:cs="宋体"/>
                <w:color w:val="000000"/>
                <w:sz w:val="20"/>
                <w:szCs w:val="20"/>
              </w:rPr>
            </w:pPr>
          </w:p>
        </w:tc>
        <w:tc>
          <w:tcPr>
            <w:tcW w:w="7823" w:type="dxa"/>
            <w:gridSpan w:val="5"/>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312"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noWrap/>
          </w:tcPr>
          <w:p>
            <w:pPr>
              <w:jc w:val="center"/>
              <w:rPr>
                <w:rFonts w:ascii="宋体" w:hAnsi="宋体" w:eastAsia="宋体" w:cs="宋体"/>
                <w:color w:val="000000"/>
                <w:sz w:val="20"/>
                <w:szCs w:val="20"/>
              </w:rPr>
            </w:pPr>
          </w:p>
        </w:tc>
        <w:tc>
          <w:tcPr>
            <w:tcW w:w="7823" w:type="dxa"/>
            <w:gridSpan w:val="5"/>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312"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noWrap/>
          </w:tcPr>
          <w:p>
            <w:pPr>
              <w:jc w:val="center"/>
              <w:rPr>
                <w:rFonts w:ascii="宋体" w:hAnsi="宋体" w:eastAsia="宋体" w:cs="宋体"/>
                <w:color w:val="000000"/>
                <w:sz w:val="20"/>
                <w:szCs w:val="20"/>
              </w:rPr>
            </w:pPr>
          </w:p>
        </w:tc>
        <w:tc>
          <w:tcPr>
            <w:tcW w:w="7823" w:type="dxa"/>
            <w:gridSpan w:val="5"/>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312"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noWrap/>
          </w:tcPr>
          <w:p>
            <w:pPr>
              <w:jc w:val="center"/>
              <w:rPr>
                <w:rFonts w:ascii="宋体" w:hAnsi="宋体" w:eastAsia="宋体" w:cs="宋体"/>
                <w:color w:val="000000"/>
                <w:sz w:val="20"/>
                <w:szCs w:val="20"/>
              </w:rPr>
            </w:pPr>
          </w:p>
        </w:tc>
        <w:tc>
          <w:tcPr>
            <w:tcW w:w="7823" w:type="dxa"/>
            <w:gridSpan w:val="5"/>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312"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noWrap/>
          </w:tcPr>
          <w:p>
            <w:pPr>
              <w:jc w:val="center"/>
              <w:rPr>
                <w:rFonts w:ascii="宋体" w:hAnsi="宋体" w:eastAsia="宋体" w:cs="宋体"/>
                <w:color w:val="000000"/>
                <w:sz w:val="20"/>
                <w:szCs w:val="20"/>
              </w:rPr>
            </w:pPr>
          </w:p>
        </w:tc>
        <w:tc>
          <w:tcPr>
            <w:tcW w:w="7823" w:type="dxa"/>
            <w:gridSpan w:val="5"/>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312"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noWrap/>
          </w:tcPr>
          <w:p>
            <w:pPr>
              <w:jc w:val="center"/>
              <w:rPr>
                <w:rFonts w:ascii="宋体" w:hAnsi="宋体" w:eastAsia="宋体" w:cs="宋体"/>
                <w:color w:val="000000"/>
                <w:sz w:val="20"/>
                <w:szCs w:val="20"/>
              </w:rPr>
            </w:pPr>
          </w:p>
        </w:tc>
        <w:tc>
          <w:tcPr>
            <w:tcW w:w="7823" w:type="dxa"/>
            <w:gridSpan w:val="5"/>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312"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noWrap/>
          </w:tcPr>
          <w:p>
            <w:pPr>
              <w:jc w:val="center"/>
              <w:rPr>
                <w:rFonts w:ascii="宋体" w:hAnsi="宋体" w:eastAsia="宋体" w:cs="宋体"/>
                <w:color w:val="000000"/>
                <w:sz w:val="20"/>
                <w:szCs w:val="20"/>
              </w:rPr>
            </w:pPr>
          </w:p>
        </w:tc>
        <w:tc>
          <w:tcPr>
            <w:tcW w:w="7823" w:type="dxa"/>
            <w:gridSpan w:val="5"/>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834" w:hRule="atLeast"/>
        </w:trPr>
        <w:tc>
          <w:tcPr>
            <w:tcW w:w="606" w:type="dxa"/>
            <w:vMerge w:val="restart"/>
            <w:tcBorders>
              <w:top w:val="single" w:color="000000" w:sz="4" w:space="0"/>
              <w:left w:val="single" w:color="000000" w:sz="4" w:space="0"/>
              <w:bottom w:val="single" w:color="000000" w:sz="4" w:space="0"/>
              <w:right w:val="single" w:color="000000" w:sz="4" w:space="0"/>
            </w:tcBorders>
            <w:shd w:val="clear" w:color="auto" w:fill="FFFFFF"/>
          </w:tcPr>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p>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绩</w:t>
            </w:r>
          </w:p>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效</w:t>
            </w:r>
          </w:p>
          <w:p>
            <w:pPr>
              <w:widowControl/>
              <w:jc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指</w:t>
            </w:r>
          </w:p>
          <w:p>
            <w:pPr>
              <w:widowControl/>
              <w:jc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标</w:t>
            </w:r>
          </w:p>
        </w:tc>
        <w:tc>
          <w:tcPr>
            <w:tcW w:w="1080" w:type="dxa"/>
            <w:tcBorders>
              <w:top w:val="single" w:color="000000" w:sz="4" w:space="0"/>
              <w:left w:val="nil"/>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一级指标</w:t>
            </w:r>
          </w:p>
        </w:tc>
        <w:tc>
          <w:tcPr>
            <w:tcW w:w="130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二级指标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三级指标</w:t>
            </w:r>
          </w:p>
        </w:tc>
        <w:tc>
          <w:tcPr>
            <w:tcW w:w="307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指标值</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备注</w:t>
            </w:r>
          </w:p>
        </w:tc>
      </w:tr>
      <w:tr>
        <w:tblPrEx>
          <w:tblCellMar>
            <w:top w:w="0" w:type="dxa"/>
            <w:left w:w="108" w:type="dxa"/>
            <w:bottom w:w="0" w:type="dxa"/>
            <w:right w:w="108" w:type="dxa"/>
          </w:tblCellMar>
        </w:tblPrEx>
        <w:trPr>
          <w:trHeight w:val="1438"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restart"/>
            <w:tcBorders>
              <w:top w:val="nil"/>
              <w:left w:val="nil"/>
              <w:bottom w:val="nil"/>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产出指标</w:t>
            </w:r>
          </w:p>
        </w:tc>
        <w:tc>
          <w:tcPr>
            <w:tcW w:w="130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数量指标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项目年度建设任务量</w:t>
            </w:r>
          </w:p>
        </w:tc>
        <w:tc>
          <w:tcPr>
            <w:tcW w:w="3075" w:type="dxa"/>
            <w:tcBorders>
              <w:top w:val="single" w:color="000000" w:sz="4" w:space="0"/>
              <w:left w:val="single" w:color="000000" w:sz="4" w:space="0"/>
              <w:bottom w:val="single" w:color="000000" w:sz="4" w:space="0"/>
              <w:right w:val="nil"/>
            </w:tcBorders>
            <w:shd w:val="clear" w:color="auto" w:fill="FFFFFF"/>
            <w:vAlign w:val="center"/>
          </w:tcPr>
          <w:p>
            <w:pPr>
              <w:pStyle w:val="2"/>
              <w:ind w:firstLine="400" w:firstLineChars="200"/>
              <w:rPr>
                <w:rFonts w:hAnsi="宋体" w:eastAsia="宋体" w:cs="宋体"/>
                <w:color w:val="000000"/>
                <w:sz w:val="20"/>
                <w:szCs w:val="20"/>
              </w:rPr>
            </w:pPr>
            <w:r>
              <w:rPr>
                <w:rFonts w:hint="eastAsia" w:hAnsi="宋体" w:eastAsia="宋体" w:cs="宋体"/>
                <w:color w:val="000000"/>
                <w:kern w:val="0"/>
                <w:sz w:val="20"/>
                <w:szCs w:val="20"/>
                <w:lang w:bidi="ar"/>
              </w:rPr>
              <w:t>新建林下种植药材示范基地500亩，改建管护生产用房150平方米，配套建设基础设施1套。架设高压输电线路2.5km，低压输电线路1.0km，安装变压器1台；</w:t>
            </w:r>
          </w:p>
        </w:tc>
        <w:tc>
          <w:tcPr>
            <w:tcW w:w="6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p>
        </w:tc>
      </w:tr>
      <w:tr>
        <w:tblPrEx>
          <w:tblCellMar>
            <w:top w:w="0" w:type="dxa"/>
            <w:left w:w="108" w:type="dxa"/>
            <w:bottom w:w="0" w:type="dxa"/>
            <w:right w:w="108" w:type="dxa"/>
          </w:tblCellMar>
        </w:tblPrEx>
        <w:trPr>
          <w:trHeight w:val="614"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continue"/>
            <w:tcBorders>
              <w:top w:val="nil"/>
              <w:left w:val="nil"/>
              <w:bottom w:val="nil"/>
              <w:right w:val="single" w:color="000000" w:sz="4" w:space="0"/>
            </w:tcBorders>
            <w:shd w:val="clear" w:color="auto" w:fill="FFFFFF"/>
            <w:noWrap/>
            <w:vAlign w:val="center"/>
          </w:tcPr>
          <w:p>
            <w:pPr>
              <w:jc w:val="center"/>
              <w:rPr>
                <w:rFonts w:ascii="宋体" w:hAnsi="宋体" w:eastAsia="宋体" w:cs="宋体"/>
                <w:color w:val="000000"/>
                <w:sz w:val="20"/>
                <w:szCs w:val="20"/>
              </w:rPr>
            </w:pPr>
          </w:p>
        </w:tc>
        <w:tc>
          <w:tcPr>
            <w:tcW w:w="130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ind w:firstLine="200" w:firstLineChars="100"/>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质量指标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项目验收合格率</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100%</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left"/>
              <w:rPr>
                <w:rFonts w:ascii="宋体" w:hAnsi="宋体" w:eastAsia="宋体" w:cs="宋体"/>
                <w:color w:val="000000"/>
                <w:sz w:val="20"/>
                <w:szCs w:val="20"/>
              </w:rPr>
            </w:pPr>
          </w:p>
        </w:tc>
      </w:tr>
      <w:tr>
        <w:tblPrEx>
          <w:tblCellMar>
            <w:top w:w="0" w:type="dxa"/>
            <w:left w:w="108" w:type="dxa"/>
            <w:bottom w:w="0" w:type="dxa"/>
            <w:right w:w="108" w:type="dxa"/>
          </w:tblCellMar>
        </w:tblPrEx>
        <w:trPr>
          <w:trHeight w:val="569"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continue"/>
            <w:tcBorders>
              <w:top w:val="nil"/>
              <w:left w:val="nil"/>
              <w:bottom w:val="nil"/>
              <w:right w:val="single" w:color="000000" w:sz="4" w:space="0"/>
            </w:tcBorders>
            <w:shd w:val="clear" w:color="auto" w:fill="FFFFFF"/>
            <w:noWrap/>
            <w:vAlign w:val="center"/>
          </w:tcPr>
          <w:p>
            <w:pPr>
              <w:jc w:val="center"/>
              <w:rPr>
                <w:rFonts w:ascii="宋体" w:hAnsi="宋体" w:eastAsia="宋体" w:cs="宋体"/>
                <w:color w:val="000000"/>
                <w:sz w:val="20"/>
                <w:szCs w:val="20"/>
              </w:rPr>
            </w:pPr>
          </w:p>
        </w:tc>
        <w:tc>
          <w:tcPr>
            <w:tcW w:w="130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时效指标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当期任务完成率</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100%</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ascii="宋体" w:hAnsi="宋体" w:eastAsia="宋体" w:cs="宋体"/>
                <w:color w:val="000000"/>
                <w:sz w:val="20"/>
                <w:szCs w:val="20"/>
              </w:rPr>
            </w:pPr>
          </w:p>
        </w:tc>
      </w:tr>
      <w:tr>
        <w:tblPrEx>
          <w:tblCellMar>
            <w:top w:w="0" w:type="dxa"/>
            <w:left w:w="108" w:type="dxa"/>
            <w:bottom w:w="0" w:type="dxa"/>
            <w:right w:w="108" w:type="dxa"/>
          </w:tblCellMar>
        </w:tblPrEx>
        <w:trPr>
          <w:trHeight w:val="569"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continue"/>
            <w:tcBorders>
              <w:top w:val="nil"/>
              <w:left w:val="nil"/>
              <w:bottom w:val="nil"/>
              <w:right w:val="single" w:color="000000" w:sz="4" w:space="0"/>
            </w:tcBorders>
            <w:shd w:val="clear" w:color="auto" w:fill="FFFFFF"/>
            <w:noWrap/>
            <w:vAlign w:val="center"/>
          </w:tcPr>
          <w:p>
            <w:pPr>
              <w:jc w:val="center"/>
              <w:rPr>
                <w:rFonts w:ascii="宋体" w:hAnsi="宋体" w:eastAsia="宋体" w:cs="宋体"/>
                <w:color w:val="000000"/>
                <w:sz w:val="20"/>
                <w:szCs w:val="20"/>
              </w:rPr>
            </w:pPr>
          </w:p>
        </w:tc>
        <w:tc>
          <w:tcPr>
            <w:tcW w:w="1305"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成本指标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财政补助标准</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jc w:val="right"/>
              <w:rPr>
                <w:rFonts w:ascii="宋体" w:hAnsi="宋体" w:eastAsia="宋体" w:cs="宋体"/>
                <w:color w:val="000000"/>
                <w:sz w:val="20"/>
                <w:szCs w:val="20"/>
              </w:rPr>
            </w:pP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ascii="宋体" w:hAnsi="宋体" w:eastAsia="宋体" w:cs="宋体"/>
                <w:color w:val="000000"/>
                <w:sz w:val="20"/>
                <w:szCs w:val="20"/>
              </w:rPr>
            </w:pPr>
          </w:p>
        </w:tc>
      </w:tr>
      <w:tr>
        <w:tblPrEx>
          <w:tblCellMar>
            <w:top w:w="0" w:type="dxa"/>
            <w:left w:w="108" w:type="dxa"/>
            <w:bottom w:w="0" w:type="dxa"/>
            <w:right w:w="108" w:type="dxa"/>
          </w:tblCellMar>
        </w:tblPrEx>
        <w:trPr>
          <w:trHeight w:val="739"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restart"/>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效益指标</w:t>
            </w:r>
          </w:p>
        </w:tc>
        <w:tc>
          <w:tcPr>
            <w:tcW w:w="1305" w:type="dxa"/>
            <w:tcBorders>
              <w:top w:val="single" w:color="000000" w:sz="4" w:space="0"/>
              <w:left w:val="nil"/>
              <w:bottom w:val="single" w:color="000000" w:sz="4" w:space="0"/>
              <w:right w:val="single" w:color="000000" w:sz="4" w:space="0"/>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经济效益</w:t>
            </w:r>
          </w:p>
        </w:tc>
        <w:tc>
          <w:tcPr>
            <w:tcW w:w="1710" w:type="dxa"/>
            <w:tcBorders>
              <w:top w:val="single" w:color="000000" w:sz="4" w:space="0"/>
              <w:left w:val="single" w:color="000000" w:sz="4" w:space="0"/>
              <w:bottom w:val="single" w:color="000000" w:sz="4" w:space="0"/>
              <w:right w:val="nil"/>
            </w:tcBorders>
            <w:shd w:val="clear" w:color="auto" w:fill="FFFFFF"/>
            <w:noWrap/>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项目实施是否带动农民增收</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是</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ascii="宋体" w:hAnsi="宋体" w:eastAsia="宋体" w:cs="宋体"/>
                <w:color w:val="000000"/>
                <w:sz w:val="20"/>
                <w:szCs w:val="20"/>
              </w:rPr>
            </w:pPr>
          </w:p>
        </w:tc>
      </w:tr>
      <w:tr>
        <w:tblPrEx>
          <w:tblCellMar>
            <w:top w:w="0" w:type="dxa"/>
            <w:left w:w="108" w:type="dxa"/>
            <w:bottom w:w="0" w:type="dxa"/>
            <w:right w:w="108" w:type="dxa"/>
          </w:tblCellMar>
        </w:tblPrEx>
        <w:trPr>
          <w:trHeight w:val="739"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eastAsia="宋体" w:cs="宋体"/>
                <w:color w:val="000000"/>
                <w:sz w:val="20"/>
                <w:szCs w:val="20"/>
              </w:rPr>
            </w:pPr>
          </w:p>
        </w:tc>
        <w:tc>
          <w:tcPr>
            <w:tcW w:w="1305" w:type="dxa"/>
            <w:tcBorders>
              <w:top w:val="single" w:color="000000" w:sz="4" w:space="0"/>
              <w:left w:val="nil"/>
              <w:bottom w:val="single" w:color="000000" w:sz="4" w:space="0"/>
              <w:right w:val="single" w:color="000000" w:sz="4" w:space="0"/>
            </w:tcBorders>
            <w:shd w:val="clear" w:color="auto" w:fill="FFFFFF"/>
            <w:vAlign w:val="center"/>
          </w:tcPr>
          <w:p>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社会效益</w:t>
            </w:r>
          </w:p>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带动就业人数（人）</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sz w:val="20"/>
                <w:szCs w:val="20"/>
              </w:rPr>
              <w:t>20</w:t>
            </w:r>
          </w:p>
        </w:tc>
        <w:tc>
          <w:tcPr>
            <w:tcW w:w="6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ascii="宋体" w:hAnsi="宋体" w:eastAsia="宋体" w:cs="宋体"/>
                <w:color w:val="000000"/>
                <w:sz w:val="20"/>
                <w:szCs w:val="20"/>
              </w:rPr>
            </w:pPr>
          </w:p>
        </w:tc>
      </w:tr>
      <w:tr>
        <w:tblPrEx>
          <w:tblCellMar>
            <w:top w:w="0" w:type="dxa"/>
            <w:left w:w="108" w:type="dxa"/>
            <w:bottom w:w="0" w:type="dxa"/>
            <w:right w:w="108" w:type="dxa"/>
          </w:tblCellMar>
        </w:tblPrEx>
        <w:trPr>
          <w:trHeight w:val="739"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eastAsia="宋体" w:cs="宋体"/>
                <w:color w:val="000000"/>
                <w:sz w:val="20"/>
                <w:szCs w:val="20"/>
              </w:rPr>
            </w:pPr>
          </w:p>
        </w:tc>
        <w:tc>
          <w:tcPr>
            <w:tcW w:w="1305" w:type="dxa"/>
            <w:tcBorders>
              <w:top w:val="single" w:color="000000" w:sz="4" w:space="0"/>
              <w:left w:val="nil"/>
              <w:bottom w:val="single" w:color="000000" w:sz="4" w:space="0"/>
              <w:right w:val="single" w:color="000000" w:sz="4" w:space="0"/>
            </w:tcBorders>
            <w:shd w:val="clear" w:color="auto" w:fill="FFFFFF"/>
            <w:vAlign w:val="center"/>
          </w:tcPr>
          <w:p>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生态效益</w:t>
            </w:r>
          </w:p>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是否有利于改善生态环境</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是</w:t>
            </w:r>
          </w:p>
        </w:tc>
        <w:tc>
          <w:tcPr>
            <w:tcW w:w="653" w:type="dxa"/>
            <w:tcBorders>
              <w:top w:val="single" w:color="000000" w:sz="4" w:space="0"/>
              <w:left w:val="single" w:color="000000" w:sz="4" w:space="0"/>
              <w:bottom w:val="single" w:color="000000" w:sz="4" w:space="0"/>
              <w:right w:val="single" w:color="000000" w:sz="4" w:space="0"/>
            </w:tcBorders>
            <w:shd w:val="clear" w:color="auto" w:fill="FFFFFF"/>
            <w:vAlign w:val="center"/>
          </w:tcPr>
          <w:p>
            <w:pPr>
              <w:rPr>
                <w:rFonts w:ascii="宋体" w:hAnsi="宋体" w:eastAsia="宋体" w:cs="宋体"/>
                <w:color w:val="000000"/>
                <w:sz w:val="20"/>
                <w:szCs w:val="20"/>
              </w:rPr>
            </w:pPr>
          </w:p>
        </w:tc>
      </w:tr>
      <w:tr>
        <w:tblPrEx>
          <w:tblCellMar>
            <w:top w:w="0" w:type="dxa"/>
            <w:left w:w="108" w:type="dxa"/>
            <w:bottom w:w="0" w:type="dxa"/>
            <w:right w:w="108" w:type="dxa"/>
          </w:tblCellMar>
        </w:tblPrEx>
        <w:trPr>
          <w:trHeight w:val="739"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vMerge w:val="continue"/>
            <w:tcBorders>
              <w:top w:val="single" w:color="000000" w:sz="4" w:space="0"/>
              <w:left w:val="single" w:color="000000" w:sz="4" w:space="0"/>
              <w:bottom w:val="single" w:color="000000" w:sz="4" w:space="0"/>
              <w:right w:val="single" w:color="000000" w:sz="4" w:space="0"/>
            </w:tcBorders>
            <w:shd w:val="clear" w:color="auto" w:fill="FFFFFF"/>
            <w:vAlign w:val="center"/>
          </w:tcPr>
          <w:p>
            <w:pPr>
              <w:jc w:val="center"/>
              <w:rPr>
                <w:rFonts w:ascii="宋体" w:hAnsi="宋体" w:eastAsia="宋体" w:cs="宋体"/>
                <w:color w:val="000000"/>
                <w:sz w:val="20"/>
                <w:szCs w:val="20"/>
              </w:rPr>
            </w:pPr>
          </w:p>
        </w:tc>
        <w:tc>
          <w:tcPr>
            <w:tcW w:w="1305" w:type="dxa"/>
            <w:tcBorders>
              <w:top w:val="single" w:color="000000" w:sz="4" w:space="0"/>
              <w:left w:val="nil"/>
              <w:bottom w:val="single" w:color="000000" w:sz="4" w:space="0"/>
              <w:right w:val="single" w:color="000000" w:sz="4" w:space="0"/>
            </w:tcBorders>
            <w:shd w:val="clear" w:color="auto" w:fill="FFFFFF"/>
            <w:vAlign w:val="center"/>
          </w:tcPr>
          <w:p>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可持续影响</w:t>
            </w:r>
          </w:p>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是否促进生态效益可持续发展</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是</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ascii="宋体" w:hAnsi="宋体" w:eastAsia="宋体" w:cs="宋体"/>
                <w:color w:val="000000"/>
                <w:sz w:val="20"/>
                <w:szCs w:val="20"/>
              </w:rPr>
            </w:pPr>
          </w:p>
        </w:tc>
      </w:tr>
      <w:tr>
        <w:tblPrEx>
          <w:tblCellMar>
            <w:top w:w="0" w:type="dxa"/>
            <w:left w:w="108" w:type="dxa"/>
            <w:bottom w:w="0" w:type="dxa"/>
            <w:right w:w="108" w:type="dxa"/>
          </w:tblCellMar>
        </w:tblPrEx>
        <w:trPr>
          <w:trHeight w:val="1026" w:hRule="atLeast"/>
        </w:trPr>
        <w:tc>
          <w:tcPr>
            <w:tcW w:w="606" w:type="dxa"/>
            <w:vMerge w:val="continue"/>
            <w:tcBorders>
              <w:top w:val="single" w:color="000000" w:sz="4" w:space="0"/>
              <w:left w:val="single" w:color="000000" w:sz="4" w:space="0"/>
              <w:bottom w:val="single" w:color="000000" w:sz="4" w:space="0"/>
              <w:right w:val="single" w:color="000000" w:sz="4" w:space="0"/>
            </w:tcBorders>
            <w:shd w:val="clear" w:color="auto" w:fill="FFFFFF"/>
          </w:tcPr>
          <w:p>
            <w:pPr>
              <w:jc w:val="center"/>
              <w:rPr>
                <w:rFonts w:ascii="宋体" w:hAnsi="宋体" w:eastAsia="宋体" w:cs="宋体"/>
                <w:color w:val="000000"/>
                <w:sz w:val="20"/>
                <w:szCs w:val="20"/>
              </w:rPr>
            </w:pPr>
          </w:p>
        </w:tc>
        <w:tc>
          <w:tcPr>
            <w:tcW w:w="1080" w:type="dxa"/>
            <w:tcBorders>
              <w:top w:val="nil"/>
              <w:left w:val="nil"/>
              <w:bottom w:val="single" w:color="000000" w:sz="4" w:space="0"/>
              <w:right w:val="single" w:color="000000" w:sz="4" w:space="0"/>
            </w:tcBorders>
            <w:shd w:val="clear" w:color="auto" w:fill="FFFFFF"/>
            <w:vAlign w:val="center"/>
          </w:tcPr>
          <w:p>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满意度</w:t>
            </w:r>
          </w:p>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指标</w:t>
            </w:r>
          </w:p>
        </w:tc>
        <w:tc>
          <w:tcPr>
            <w:tcW w:w="1305"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服务对象</w:t>
            </w:r>
          </w:p>
          <w:p>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满意度</w:t>
            </w:r>
          </w:p>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指标</w:t>
            </w:r>
          </w:p>
        </w:tc>
        <w:tc>
          <w:tcPr>
            <w:tcW w:w="1710" w:type="dxa"/>
            <w:tcBorders>
              <w:top w:val="single" w:color="000000" w:sz="4" w:space="0"/>
              <w:left w:val="single" w:color="000000" w:sz="4" w:space="0"/>
              <w:bottom w:val="single" w:color="000000" w:sz="4" w:space="0"/>
              <w:right w:val="single" w:color="000000" w:sz="4" w:space="0"/>
            </w:tcBorders>
            <w:shd w:val="clear" w:color="auto" w:fill="FFFFFF"/>
            <w:vAlign w:val="center"/>
          </w:tcPr>
          <w:p>
            <w:pPr>
              <w:widowControl/>
              <w:jc w:val="left"/>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林区职工、周边群众满意度</w:t>
            </w:r>
          </w:p>
        </w:tc>
        <w:tc>
          <w:tcPr>
            <w:tcW w:w="3075" w:type="dxa"/>
            <w:tcBorders>
              <w:top w:val="single" w:color="000000" w:sz="4" w:space="0"/>
              <w:left w:val="single" w:color="000000" w:sz="4" w:space="0"/>
              <w:bottom w:val="single" w:color="000000" w:sz="4" w:space="0"/>
              <w:right w:val="nil"/>
            </w:tcBorders>
            <w:shd w:val="clear" w:color="auto" w:fill="FFFFFF"/>
            <w:noWrap/>
            <w:vAlign w:val="center"/>
          </w:tcPr>
          <w:p>
            <w:pPr>
              <w:widowControl/>
              <w:jc w:val="center"/>
              <w:textAlignment w:val="center"/>
              <w:rPr>
                <w:rFonts w:ascii="宋体" w:hAnsi="宋体" w:eastAsia="宋体" w:cs="宋体"/>
                <w:color w:val="000000"/>
                <w:sz w:val="20"/>
                <w:szCs w:val="20"/>
              </w:rPr>
            </w:pPr>
            <w:r>
              <w:rPr>
                <w:rFonts w:hint="eastAsia" w:ascii="宋体" w:hAnsi="宋体" w:eastAsia="宋体" w:cs="宋体"/>
                <w:color w:val="000000"/>
                <w:kern w:val="0"/>
                <w:sz w:val="20"/>
                <w:szCs w:val="20"/>
                <w:lang w:bidi="ar"/>
              </w:rPr>
              <w:t>98%</w:t>
            </w:r>
          </w:p>
        </w:tc>
        <w:tc>
          <w:tcPr>
            <w:tcW w:w="653" w:type="dxa"/>
            <w:tcBorders>
              <w:top w:val="single" w:color="000000" w:sz="4" w:space="0"/>
              <w:left w:val="single" w:color="000000" w:sz="4" w:space="0"/>
              <w:bottom w:val="single" w:color="000000" w:sz="4" w:space="0"/>
              <w:right w:val="single" w:color="000000" w:sz="4" w:space="0"/>
            </w:tcBorders>
            <w:shd w:val="clear" w:color="auto" w:fill="FFFFFF"/>
            <w:noWrap/>
            <w:vAlign w:val="center"/>
          </w:tcPr>
          <w:p>
            <w:pPr>
              <w:rPr>
                <w:rFonts w:ascii="宋体" w:hAnsi="宋体" w:eastAsia="宋体" w:cs="宋体"/>
                <w:color w:val="000000"/>
                <w:sz w:val="20"/>
                <w:szCs w:val="20"/>
              </w:rPr>
            </w:pPr>
          </w:p>
        </w:tc>
      </w:tr>
      <w:tr>
        <w:tblPrEx>
          <w:tblCellMar>
            <w:top w:w="0" w:type="dxa"/>
            <w:left w:w="108" w:type="dxa"/>
            <w:bottom w:w="0" w:type="dxa"/>
            <w:right w:w="108" w:type="dxa"/>
          </w:tblCellMar>
        </w:tblPrEx>
        <w:trPr>
          <w:trHeight w:val="522" w:hRule="atLeast"/>
        </w:trPr>
        <w:tc>
          <w:tcPr>
            <w:tcW w:w="8429" w:type="dxa"/>
            <w:gridSpan w:val="6"/>
            <w:tcBorders>
              <w:top w:val="nil"/>
              <w:left w:val="nil"/>
              <w:bottom w:val="nil"/>
              <w:right w:val="nil"/>
            </w:tcBorders>
            <w:shd w:val="clear" w:color="auto" w:fill="auto"/>
            <w:noWrap/>
            <w:vAlign w:val="bottom"/>
          </w:tcPr>
          <w:p>
            <w:pPr>
              <w:rPr>
                <w:rFonts w:ascii="Arial" w:hAnsi="Arial" w:eastAsia="宋体" w:cs="Arial"/>
                <w:color w:val="000000"/>
                <w:sz w:val="20"/>
                <w:szCs w:val="20"/>
              </w:rPr>
            </w:pPr>
          </w:p>
        </w:tc>
      </w:tr>
    </w:tbl>
    <w:p>
      <w:pPr>
        <w:pStyle w:val="2"/>
        <w:rPr>
          <w:rFonts w:ascii="仿宋" w:hAnsi="仿宋" w:eastAsia="仿宋" w:cs="仿宋"/>
          <w:b/>
          <w:bCs/>
          <w:szCs w:val="32"/>
        </w:rPr>
      </w:pPr>
      <w:r>
        <w:rPr>
          <w:rFonts w:hint="eastAsia" w:ascii="仿宋" w:hAnsi="仿宋" w:eastAsia="仿宋" w:cs="仿宋"/>
          <w:b/>
          <w:bCs/>
          <w:szCs w:val="32"/>
        </w:rPr>
        <w:t>附图1</w:t>
      </w:r>
    </w:p>
    <w:p>
      <w:pPr>
        <w:pStyle w:val="2"/>
        <w:rPr>
          <w:rFonts w:ascii="仿宋" w:hAnsi="仿宋" w:eastAsia="仿宋" w:cs="仿宋"/>
          <w:b/>
          <w:bCs/>
          <w:szCs w:val="32"/>
        </w:rPr>
      </w:pPr>
      <w:r>
        <w:drawing>
          <wp:inline distT="0" distB="0" distL="114300" distR="114300">
            <wp:extent cx="5433060" cy="7457440"/>
            <wp:effectExtent l="0" t="0" r="15240" b="10160"/>
            <wp:docPr id="1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true"/>
                    </pic:cNvPicPr>
                  </pic:nvPicPr>
                  <pic:blipFill>
                    <a:blip r:embed="rId5"/>
                    <a:stretch>
                      <a:fillRect/>
                    </a:stretch>
                  </pic:blipFill>
                  <pic:spPr>
                    <a:xfrm>
                      <a:off x="0" y="0"/>
                      <a:ext cx="5433060" cy="7457440"/>
                    </a:xfrm>
                    <a:prstGeom prst="rect">
                      <a:avLst/>
                    </a:prstGeom>
                    <a:noFill/>
                    <a:ln>
                      <a:noFill/>
                    </a:ln>
                  </pic:spPr>
                </pic:pic>
              </a:graphicData>
            </a:graphic>
          </wp:inline>
        </w:drawing>
      </w:r>
    </w:p>
    <w:p>
      <w:pPr>
        <w:pStyle w:val="2"/>
        <w:ind w:firstLine="1927" w:firstLineChars="600"/>
        <w:rPr>
          <w:rFonts w:ascii="仿宋" w:hAnsi="仿宋" w:eastAsia="仿宋" w:cs="仿宋"/>
          <w:b/>
          <w:bCs/>
          <w:szCs w:val="32"/>
        </w:rPr>
      </w:pPr>
    </w:p>
    <w:p>
      <w:pPr>
        <w:rPr>
          <w:rFonts w:ascii="仿宋" w:hAnsi="仿宋" w:eastAsia="仿宋" w:cs="仿宋"/>
          <w:b/>
          <w:bCs/>
          <w:sz w:val="32"/>
          <w:szCs w:val="32"/>
        </w:rPr>
      </w:pPr>
      <w:r>
        <w:rPr>
          <w:rFonts w:hint="eastAsia" w:ascii="仿宋" w:hAnsi="仿宋" w:eastAsia="仿宋" w:cs="仿宋"/>
          <w:b/>
          <w:bCs/>
          <w:sz w:val="32"/>
          <w:szCs w:val="32"/>
        </w:rPr>
        <w:br w:type="page"/>
      </w:r>
    </w:p>
    <w:p>
      <w:pPr>
        <w:rPr>
          <w:rFonts w:ascii="仿宋" w:hAnsi="仿宋" w:eastAsia="仿宋" w:cs="仿宋"/>
          <w:b/>
          <w:bCs/>
          <w:sz w:val="32"/>
          <w:szCs w:val="32"/>
        </w:rPr>
        <w:sectPr>
          <w:pgSz w:w="11906" w:h="16838"/>
          <w:pgMar w:top="1440" w:right="1800" w:bottom="1440" w:left="1800" w:header="851" w:footer="992" w:gutter="0"/>
          <w:cols w:space="425" w:num="1"/>
          <w:docGrid w:type="lines" w:linePitch="312" w:charSpace="0"/>
        </w:sectPr>
      </w:pPr>
    </w:p>
    <w:p>
      <w:pPr>
        <w:rPr>
          <w:sz w:val="28"/>
          <w:szCs w:val="28"/>
        </w:rPr>
      </w:pPr>
      <w:r>
        <w:rPr>
          <w:rFonts w:hint="eastAsia"/>
          <w:sz w:val="28"/>
          <w:szCs w:val="28"/>
        </w:rPr>
        <w:t>附图2</w:t>
      </w:r>
    </w:p>
    <w:p>
      <w:pPr>
        <w:ind w:firstLine="420" w:firstLineChars="200"/>
        <w:sectPr>
          <w:pgSz w:w="16838" w:h="11906" w:orient="landscape"/>
          <w:pgMar w:top="1800" w:right="1440" w:bottom="1800" w:left="1723" w:header="851" w:footer="992" w:gutter="0"/>
          <w:cols w:space="425" w:num="1"/>
          <w:docGrid w:type="lines" w:linePitch="312" w:charSpace="0"/>
        </w:sectPr>
      </w:pPr>
      <w:r>
        <w:drawing>
          <wp:inline distT="0" distB="0" distL="114300" distR="114300">
            <wp:extent cx="7267575" cy="4714875"/>
            <wp:effectExtent l="0" t="0" r="9525" b="9525"/>
            <wp:docPr id="2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true"/>
                    </pic:cNvPicPr>
                  </pic:nvPicPr>
                  <pic:blipFill>
                    <a:blip r:embed="rId6"/>
                    <a:stretch>
                      <a:fillRect/>
                    </a:stretch>
                  </pic:blipFill>
                  <pic:spPr>
                    <a:xfrm>
                      <a:off x="0" y="0"/>
                      <a:ext cx="7269533" cy="4716145"/>
                    </a:xfrm>
                    <a:prstGeom prst="rect">
                      <a:avLst/>
                    </a:prstGeom>
                    <a:noFill/>
                    <a:ln>
                      <a:noFill/>
                    </a:ln>
                  </pic:spPr>
                </pic:pic>
              </a:graphicData>
            </a:graphic>
          </wp:inline>
        </w:drawing>
      </w:r>
    </w:p>
    <w:p>
      <w:pPr>
        <w:pStyle w:val="2"/>
      </w:pPr>
      <w:r>
        <w:rPr>
          <w:rFonts w:hint="eastAsia"/>
        </w:rPr>
        <w:t>附图3</w:t>
      </w:r>
    </w:p>
    <w:p>
      <w:pPr>
        <w:pStyle w:val="2"/>
        <w:jc w:val="center"/>
      </w:pPr>
    </w:p>
    <w:p>
      <w:pPr>
        <w:pStyle w:val="2"/>
      </w:pPr>
      <w:r>
        <w:drawing>
          <wp:inline distT="0" distB="0" distL="114300" distR="114300">
            <wp:extent cx="5271770" cy="7454900"/>
            <wp:effectExtent l="0" t="0" r="5080" b="12700"/>
            <wp:docPr id="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true"/>
                    </pic:cNvPicPr>
                  </pic:nvPicPr>
                  <pic:blipFill>
                    <a:blip r:embed="rId7"/>
                    <a:stretch>
                      <a:fillRect/>
                    </a:stretch>
                  </pic:blipFill>
                  <pic:spPr>
                    <a:xfrm>
                      <a:off x="0" y="0"/>
                      <a:ext cx="5271770" cy="7454900"/>
                    </a:xfrm>
                    <a:prstGeom prst="rect">
                      <a:avLst/>
                    </a:prstGeom>
                    <a:noFill/>
                    <a:ln>
                      <a:noFill/>
                    </a:ln>
                  </pic:spPr>
                </pic:pic>
              </a:graphicData>
            </a:graphic>
          </wp:inline>
        </w:drawing>
      </w:r>
    </w:p>
    <w:p>
      <w:pPr>
        <w:pStyle w:val="2"/>
        <w:rPr>
          <w:rFonts w:hint="eastAsia"/>
        </w:rPr>
      </w:pPr>
    </w:p>
    <w:p>
      <w:pPr>
        <w:pStyle w:val="2"/>
      </w:pPr>
      <w:r>
        <w:rPr>
          <w:rFonts w:hint="eastAsia"/>
        </w:rPr>
        <w:t>附件1</w:t>
      </w:r>
    </w:p>
    <w:p>
      <w:pPr>
        <w:pStyle w:val="2"/>
      </w:pPr>
    </w:p>
    <w:p>
      <w:pPr>
        <w:pStyle w:val="2"/>
        <w:jc w:val="center"/>
      </w:pPr>
      <w:r>
        <w:drawing>
          <wp:inline distT="0" distB="0" distL="114300" distR="114300">
            <wp:extent cx="5229860" cy="7116445"/>
            <wp:effectExtent l="0" t="0" r="8890" b="8255"/>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pic:cNvPicPr>
                  </pic:nvPicPr>
                  <pic:blipFill>
                    <a:blip r:embed="rId8"/>
                    <a:stretch>
                      <a:fillRect/>
                    </a:stretch>
                  </pic:blipFill>
                  <pic:spPr>
                    <a:xfrm>
                      <a:off x="0" y="0"/>
                      <a:ext cx="5229860" cy="7116445"/>
                    </a:xfrm>
                    <a:prstGeom prst="rect">
                      <a:avLst/>
                    </a:prstGeom>
                    <a:noFill/>
                    <a:ln>
                      <a:noFill/>
                    </a:ln>
                  </pic:spPr>
                </pic:pic>
              </a:graphicData>
            </a:graphic>
          </wp:inline>
        </w:drawing>
      </w:r>
    </w:p>
    <w:p>
      <w:pPr>
        <w:pStyle w:val="2"/>
      </w:pPr>
    </w:p>
    <w:p>
      <w:pPr>
        <w:pStyle w:val="2"/>
      </w:pPr>
    </w:p>
    <w:p>
      <w:pPr>
        <w:pStyle w:val="2"/>
      </w:pPr>
      <w:r>
        <w:rPr>
          <w:rFonts w:hint="eastAsia"/>
        </w:rPr>
        <w:t>附件2-1</w:t>
      </w:r>
    </w:p>
    <w:p>
      <w:pPr>
        <w:pStyle w:val="2"/>
        <w:jc w:val="center"/>
      </w:pPr>
    </w:p>
    <w:p>
      <w:pPr>
        <w:pStyle w:val="2"/>
        <w:jc w:val="center"/>
      </w:pPr>
      <w:r>
        <w:drawing>
          <wp:inline distT="0" distB="0" distL="114300" distR="114300">
            <wp:extent cx="5611495" cy="7835265"/>
            <wp:effectExtent l="0" t="0" r="8255" b="13335"/>
            <wp:docPr id="25"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true"/>
                    </pic:cNvPicPr>
                  </pic:nvPicPr>
                  <pic:blipFill>
                    <a:blip r:embed="rId9"/>
                    <a:stretch>
                      <a:fillRect/>
                    </a:stretch>
                  </pic:blipFill>
                  <pic:spPr>
                    <a:xfrm>
                      <a:off x="0" y="0"/>
                      <a:ext cx="5611495" cy="7835265"/>
                    </a:xfrm>
                    <a:prstGeom prst="rect">
                      <a:avLst/>
                    </a:prstGeom>
                    <a:noFill/>
                    <a:ln>
                      <a:noFill/>
                    </a:ln>
                  </pic:spPr>
                </pic:pic>
              </a:graphicData>
            </a:graphic>
          </wp:inline>
        </w:drawing>
      </w:r>
    </w:p>
    <w:p>
      <w:pPr>
        <w:pStyle w:val="2"/>
      </w:pPr>
      <w:r>
        <w:rPr>
          <w:rFonts w:hint="eastAsia"/>
        </w:rPr>
        <w:t>附件2-2</w:t>
      </w:r>
    </w:p>
    <w:p>
      <w:pPr>
        <w:pStyle w:val="2"/>
        <w:jc w:val="center"/>
        <w:sectPr>
          <w:pgSz w:w="11906" w:h="16838"/>
          <w:pgMar w:top="1440" w:right="1800" w:bottom="1440" w:left="1800" w:header="851" w:footer="992" w:gutter="0"/>
          <w:cols w:space="425" w:num="1"/>
          <w:docGrid w:type="lines" w:linePitch="312" w:charSpace="0"/>
        </w:sectPr>
      </w:pPr>
      <w:r>
        <w:drawing>
          <wp:inline distT="0" distB="0" distL="114300" distR="114300">
            <wp:extent cx="5586095" cy="7212965"/>
            <wp:effectExtent l="0" t="0" r="14605" b="6985"/>
            <wp:docPr id="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true"/>
                    </pic:cNvPicPr>
                  </pic:nvPicPr>
                  <pic:blipFill>
                    <a:blip r:embed="rId10"/>
                    <a:stretch>
                      <a:fillRect/>
                    </a:stretch>
                  </pic:blipFill>
                  <pic:spPr>
                    <a:xfrm>
                      <a:off x="0" y="0"/>
                      <a:ext cx="5586095" cy="7212965"/>
                    </a:xfrm>
                    <a:prstGeom prst="rect">
                      <a:avLst/>
                    </a:prstGeom>
                    <a:noFill/>
                    <a:ln>
                      <a:noFill/>
                    </a:ln>
                  </pic:spPr>
                </pic:pic>
              </a:graphicData>
            </a:graphic>
          </wp:inline>
        </w:drawing>
      </w:r>
    </w:p>
    <w:p>
      <w:pPr>
        <w:pStyle w:val="2"/>
      </w:pPr>
      <w:r>
        <w:rPr>
          <w:rFonts w:hint="eastAsia"/>
        </w:rPr>
        <w:t>附件3-1</w:t>
      </w:r>
    </w:p>
    <w:p>
      <w:pPr>
        <w:pStyle w:val="2"/>
      </w:pPr>
    </w:p>
    <w:p>
      <w:pPr>
        <w:pStyle w:val="2"/>
      </w:pPr>
    </w:p>
    <w:p>
      <w:pPr>
        <w:pStyle w:val="2"/>
      </w:pPr>
      <w:r>
        <w:drawing>
          <wp:inline distT="0" distB="0" distL="0" distR="0">
            <wp:extent cx="5592445" cy="6829425"/>
            <wp:effectExtent l="0" t="0" r="8255" b="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11"/>
                    <a:stretch>
                      <a:fillRect/>
                    </a:stretch>
                  </pic:blipFill>
                  <pic:spPr>
                    <a:xfrm>
                      <a:off x="0" y="0"/>
                      <a:ext cx="5595550" cy="6832850"/>
                    </a:xfrm>
                    <a:prstGeom prst="rect">
                      <a:avLst/>
                    </a:prstGeom>
                  </pic:spPr>
                </pic:pic>
              </a:graphicData>
            </a:graphic>
          </wp:inline>
        </w:drawing>
      </w:r>
    </w:p>
    <w:p>
      <w:pPr>
        <w:pStyle w:val="2"/>
        <w:jc w:val="center"/>
      </w:pPr>
    </w:p>
    <w:p>
      <w:pPr>
        <w:pStyle w:val="2"/>
        <w:jc w:val="center"/>
      </w:pPr>
    </w:p>
    <w:p>
      <w:pPr>
        <w:pStyle w:val="2"/>
        <w:jc w:val="center"/>
      </w:pPr>
    </w:p>
    <w:p>
      <w:pPr>
        <w:pStyle w:val="2"/>
        <w:jc w:val="center"/>
      </w:pPr>
    </w:p>
    <w:p>
      <w:pPr>
        <w:pStyle w:val="2"/>
        <w:jc w:val="center"/>
      </w:pPr>
      <w:r>
        <w:drawing>
          <wp:inline distT="0" distB="0" distL="0" distR="0">
            <wp:extent cx="5326380" cy="6896100"/>
            <wp:effectExtent l="0" t="0" r="7620" b="0"/>
            <wp:docPr id="1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true"/>
                    </pic:cNvPicPr>
                  </pic:nvPicPr>
                  <pic:blipFill>
                    <a:blip r:embed="rId12"/>
                    <a:stretch>
                      <a:fillRect/>
                    </a:stretch>
                  </pic:blipFill>
                  <pic:spPr>
                    <a:xfrm>
                      <a:off x="0" y="0"/>
                      <a:ext cx="5325799" cy="6895238"/>
                    </a:xfrm>
                    <a:prstGeom prst="rect">
                      <a:avLst/>
                    </a:prstGeom>
                  </pic:spPr>
                </pic:pic>
              </a:graphicData>
            </a:graphic>
          </wp:inline>
        </w:drawing>
      </w:r>
    </w:p>
    <w:p>
      <w:pPr>
        <w:pStyle w:val="2"/>
        <w:jc w:val="center"/>
      </w:pPr>
    </w:p>
    <w:p>
      <w:pPr>
        <w:pStyle w:val="2"/>
        <w:jc w:val="center"/>
      </w:pPr>
    </w:p>
    <w:p>
      <w:pPr>
        <w:pStyle w:val="2"/>
        <w:jc w:val="center"/>
      </w:pPr>
    </w:p>
    <w:p>
      <w:pPr>
        <w:pStyle w:val="2"/>
        <w:jc w:val="center"/>
      </w:pPr>
      <w:r>
        <w:drawing>
          <wp:inline distT="0" distB="0" distL="0" distR="0">
            <wp:extent cx="5655310" cy="6892290"/>
            <wp:effectExtent l="0" t="0" r="2540" b="3810"/>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pic:cNvPicPr>
                  </pic:nvPicPr>
                  <pic:blipFill>
                    <a:blip r:embed="rId13"/>
                    <a:stretch>
                      <a:fillRect/>
                    </a:stretch>
                  </pic:blipFill>
                  <pic:spPr>
                    <a:xfrm>
                      <a:off x="0" y="0"/>
                      <a:ext cx="5657508" cy="6895088"/>
                    </a:xfrm>
                    <a:prstGeom prst="rect">
                      <a:avLst/>
                    </a:prstGeom>
                  </pic:spPr>
                </pic:pic>
              </a:graphicData>
            </a:graphic>
          </wp:inline>
        </w:drawing>
      </w:r>
    </w:p>
    <w:p>
      <w:pPr>
        <w:pStyle w:val="2"/>
        <w:jc w:val="center"/>
      </w:pPr>
    </w:p>
    <w:p>
      <w:pPr>
        <w:pStyle w:val="2"/>
        <w:jc w:val="center"/>
      </w:pPr>
    </w:p>
    <w:p>
      <w:pPr>
        <w:pStyle w:val="2"/>
        <w:jc w:val="center"/>
      </w:pPr>
    </w:p>
    <w:p>
      <w:pPr>
        <w:pStyle w:val="2"/>
        <w:jc w:val="center"/>
      </w:pPr>
    </w:p>
    <w:p>
      <w:pPr>
        <w:pStyle w:val="2"/>
        <w:jc w:val="center"/>
      </w:pPr>
    </w:p>
    <w:p>
      <w:pPr>
        <w:pStyle w:val="2"/>
        <w:jc w:val="center"/>
      </w:pPr>
    </w:p>
    <w:p>
      <w:pPr>
        <w:pStyle w:val="2"/>
        <w:jc w:val="center"/>
      </w:pPr>
    </w:p>
    <w:p>
      <w:pPr>
        <w:pStyle w:val="2"/>
        <w:jc w:val="center"/>
      </w:pPr>
      <w:r>
        <w:drawing>
          <wp:inline distT="0" distB="0" distL="0" distR="0">
            <wp:extent cx="5681345" cy="6724650"/>
            <wp:effectExtent l="0" t="0" r="0" b="0"/>
            <wp:docPr id="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true"/>
                    </pic:cNvPicPr>
                  </pic:nvPicPr>
                  <pic:blipFill>
                    <a:blip r:embed="rId14"/>
                    <a:stretch>
                      <a:fillRect/>
                    </a:stretch>
                  </pic:blipFill>
                  <pic:spPr>
                    <a:xfrm>
                      <a:off x="0" y="0"/>
                      <a:ext cx="5687055" cy="6731360"/>
                    </a:xfrm>
                    <a:prstGeom prst="rect">
                      <a:avLst/>
                    </a:prstGeom>
                  </pic:spPr>
                </pic:pic>
              </a:graphicData>
            </a:graphic>
          </wp:inline>
        </w:drawing>
      </w:r>
    </w:p>
    <w:p>
      <w:pPr>
        <w:pStyle w:val="2"/>
        <w:jc w:val="center"/>
      </w:pPr>
    </w:p>
    <w:p>
      <w:pPr>
        <w:pStyle w:val="2"/>
      </w:pPr>
    </w:p>
    <w:p>
      <w:pPr>
        <w:pStyle w:val="2"/>
        <w:jc w:val="center"/>
      </w:pPr>
    </w:p>
    <w:p>
      <w:pPr>
        <w:pStyle w:val="2"/>
      </w:pPr>
      <w:r>
        <w:rPr>
          <w:rFonts w:hint="eastAsia"/>
        </w:rPr>
        <w:t>附件3-2</w:t>
      </w:r>
    </w:p>
    <w:p>
      <w:pPr>
        <w:pStyle w:val="2"/>
      </w:pPr>
    </w:p>
    <w:p>
      <w:pPr>
        <w:pStyle w:val="2"/>
        <w:jc w:val="center"/>
      </w:pPr>
      <w:r>
        <w:drawing>
          <wp:inline distT="0" distB="0" distL="0" distR="0">
            <wp:extent cx="5438775" cy="3686175"/>
            <wp:effectExtent l="0" t="0" r="9525" b="9525"/>
            <wp:docPr id="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true"/>
                    </pic:cNvPicPr>
                  </pic:nvPicPr>
                  <pic:blipFill>
                    <a:blip r:embed="rId15"/>
                    <a:stretch>
                      <a:fillRect/>
                    </a:stretch>
                  </pic:blipFill>
                  <pic:spPr>
                    <a:xfrm>
                      <a:off x="0" y="0"/>
                      <a:ext cx="5447240" cy="3691912"/>
                    </a:xfrm>
                    <a:prstGeom prst="rect">
                      <a:avLst/>
                    </a:prstGeom>
                  </pic:spPr>
                </pic:pic>
              </a:graphicData>
            </a:graphic>
          </wp:inline>
        </w:drawing>
      </w:r>
    </w:p>
    <w:p>
      <w:pPr>
        <w:pStyle w:val="2"/>
        <w:jc w:val="center"/>
      </w:pPr>
      <w:r>
        <w:drawing>
          <wp:inline distT="0" distB="0" distL="0" distR="0">
            <wp:extent cx="5476240" cy="2762250"/>
            <wp:effectExtent l="0" t="0" r="0" b="0"/>
            <wp:docPr id="19"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true"/>
                    </pic:cNvPicPr>
                  </pic:nvPicPr>
                  <pic:blipFill>
                    <a:blip r:embed="rId16"/>
                    <a:stretch>
                      <a:fillRect/>
                    </a:stretch>
                  </pic:blipFill>
                  <pic:spPr>
                    <a:xfrm>
                      <a:off x="0" y="0"/>
                      <a:ext cx="5482258" cy="2765240"/>
                    </a:xfrm>
                    <a:prstGeom prst="rect">
                      <a:avLst/>
                    </a:prstGeom>
                  </pic:spPr>
                </pic:pic>
              </a:graphicData>
            </a:graphic>
          </wp:inline>
        </w:drawing>
      </w:r>
    </w:p>
    <w:p>
      <w:pPr>
        <w:pStyle w:val="2"/>
        <w:jc w:val="center"/>
      </w:pPr>
    </w:p>
    <w:p>
      <w:pPr>
        <w:pStyle w:val="2"/>
        <w:jc w:val="center"/>
      </w:pPr>
    </w:p>
    <w:p>
      <w:pPr>
        <w:pStyle w:val="2"/>
        <w:jc w:val="center"/>
      </w:pPr>
    </w:p>
    <w:p>
      <w:pPr>
        <w:pStyle w:val="2"/>
        <w:jc w:val="center"/>
      </w:pPr>
    </w:p>
    <w:p>
      <w:pPr>
        <w:pStyle w:val="2"/>
        <w:jc w:val="center"/>
      </w:pPr>
      <w:r>
        <w:drawing>
          <wp:inline distT="0" distB="0" distL="0" distR="0">
            <wp:extent cx="5274310" cy="2847340"/>
            <wp:effectExtent l="0" t="0" r="2540" b="0"/>
            <wp:docPr id="21"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true"/>
                    </pic:cNvPicPr>
                  </pic:nvPicPr>
                  <pic:blipFill>
                    <a:blip r:embed="rId17"/>
                    <a:stretch>
                      <a:fillRect/>
                    </a:stretch>
                  </pic:blipFill>
                  <pic:spPr>
                    <a:xfrm>
                      <a:off x="0" y="0"/>
                      <a:ext cx="5274310" cy="2847761"/>
                    </a:xfrm>
                    <a:prstGeom prst="rect">
                      <a:avLst/>
                    </a:prstGeom>
                  </pic:spPr>
                </pic:pic>
              </a:graphicData>
            </a:graphic>
          </wp:inline>
        </w:drawing>
      </w:r>
    </w:p>
    <w:p>
      <w:pPr>
        <w:pStyle w:val="2"/>
        <w:jc w:val="center"/>
      </w:pPr>
      <w:r>
        <w:drawing>
          <wp:inline distT="0" distB="0" distL="0" distR="0">
            <wp:extent cx="5274310" cy="2867025"/>
            <wp:effectExtent l="0" t="0" r="2540" b="9525"/>
            <wp:docPr id="22"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true"/>
                    </pic:cNvPicPr>
                  </pic:nvPicPr>
                  <pic:blipFill>
                    <a:blip r:embed="rId18"/>
                    <a:stretch>
                      <a:fillRect/>
                    </a:stretch>
                  </pic:blipFill>
                  <pic:spPr>
                    <a:xfrm>
                      <a:off x="0" y="0"/>
                      <a:ext cx="5274310" cy="2867296"/>
                    </a:xfrm>
                    <a:prstGeom prst="rect">
                      <a:avLst/>
                    </a:prstGeom>
                  </pic:spPr>
                </pic:pic>
              </a:graphicData>
            </a:graphic>
          </wp:inline>
        </w:drawing>
      </w:r>
    </w:p>
    <w:p>
      <w:pPr>
        <w:pStyle w:val="2"/>
        <w:jc w:val="center"/>
      </w:pPr>
      <w:r>
        <w:drawing>
          <wp:inline distT="0" distB="0" distL="0" distR="0">
            <wp:extent cx="5274310" cy="2447290"/>
            <wp:effectExtent l="0" t="0" r="2540" b="0"/>
            <wp:docPr id="23"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true"/>
                    </pic:cNvPicPr>
                  </pic:nvPicPr>
                  <pic:blipFill>
                    <a:blip r:embed="rId19"/>
                    <a:stretch>
                      <a:fillRect/>
                    </a:stretch>
                  </pic:blipFill>
                  <pic:spPr>
                    <a:xfrm>
                      <a:off x="0" y="0"/>
                      <a:ext cx="5274310" cy="2447304"/>
                    </a:xfrm>
                    <a:prstGeom prst="rect">
                      <a:avLst/>
                    </a:prstGeom>
                  </pic:spPr>
                </pic:pic>
              </a:graphicData>
            </a:graphic>
          </wp:inline>
        </w:drawing>
      </w:r>
    </w:p>
    <w:p>
      <w:pPr>
        <w:pStyle w:val="2"/>
        <w:jc w:val="center"/>
      </w:pPr>
    </w:p>
    <w:p>
      <w:pPr>
        <w:pStyle w:val="2"/>
        <w:jc w:val="center"/>
      </w:pPr>
      <w:r>
        <w:drawing>
          <wp:inline distT="0" distB="0" distL="0" distR="0">
            <wp:extent cx="5274310" cy="2849880"/>
            <wp:effectExtent l="0" t="0" r="2540" b="7620"/>
            <wp:docPr id="2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true"/>
                    </pic:cNvPicPr>
                  </pic:nvPicPr>
                  <pic:blipFill>
                    <a:blip r:embed="rId20"/>
                    <a:stretch>
                      <a:fillRect/>
                    </a:stretch>
                  </pic:blipFill>
                  <pic:spPr>
                    <a:xfrm>
                      <a:off x="0" y="0"/>
                      <a:ext cx="5274310" cy="2850203"/>
                    </a:xfrm>
                    <a:prstGeom prst="rect">
                      <a:avLst/>
                    </a:prstGeom>
                  </pic:spPr>
                </pic:pic>
              </a:graphicData>
            </a:graphic>
          </wp:inline>
        </w:drawing>
      </w:r>
    </w:p>
    <w:p>
      <w:pPr>
        <w:pStyle w:val="2"/>
        <w:jc w:val="center"/>
      </w:pPr>
      <w:r>
        <w:drawing>
          <wp:inline distT="0" distB="0" distL="0" distR="0">
            <wp:extent cx="5274310" cy="2856230"/>
            <wp:effectExtent l="0" t="0" r="2540" b="1270"/>
            <wp:docPr id="26"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true"/>
                    </pic:cNvPicPr>
                  </pic:nvPicPr>
                  <pic:blipFill>
                    <a:blip r:embed="rId21"/>
                    <a:stretch>
                      <a:fillRect/>
                    </a:stretch>
                  </pic:blipFill>
                  <pic:spPr>
                    <a:xfrm>
                      <a:off x="0" y="0"/>
                      <a:ext cx="5274310" cy="2856307"/>
                    </a:xfrm>
                    <a:prstGeom prst="rect">
                      <a:avLst/>
                    </a:prstGeom>
                  </pic:spPr>
                </pic:pic>
              </a:graphicData>
            </a:graphic>
          </wp:inline>
        </w:drawing>
      </w:r>
    </w:p>
    <w:p>
      <w:pPr>
        <w:pStyle w:val="2"/>
        <w:jc w:val="center"/>
      </w:pPr>
      <w:r>
        <w:drawing>
          <wp:inline distT="0" distB="0" distL="0" distR="0">
            <wp:extent cx="5274310" cy="2849880"/>
            <wp:effectExtent l="0" t="0" r="2540" b="7620"/>
            <wp:docPr id="27"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true"/>
                    </pic:cNvPicPr>
                  </pic:nvPicPr>
                  <pic:blipFill>
                    <a:blip r:embed="rId22"/>
                    <a:stretch>
                      <a:fillRect/>
                    </a:stretch>
                  </pic:blipFill>
                  <pic:spPr>
                    <a:xfrm>
                      <a:off x="0" y="0"/>
                      <a:ext cx="5274310" cy="2850203"/>
                    </a:xfrm>
                    <a:prstGeom prst="rect">
                      <a:avLst/>
                    </a:prstGeom>
                  </pic:spPr>
                </pic:pic>
              </a:graphicData>
            </a:graphic>
          </wp:inline>
        </w:drawing>
      </w:r>
    </w:p>
    <w:p>
      <w:pPr>
        <w:pStyle w:val="2"/>
        <w:jc w:val="center"/>
      </w:pPr>
      <w:r>
        <w:drawing>
          <wp:inline distT="0" distB="0" distL="0" distR="0">
            <wp:extent cx="5274310" cy="2877820"/>
            <wp:effectExtent l="0" t="0" r="2540" b="0"/>
            <wp:docPr id="28"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true"/>
                    </pic:cNvPicPr>
                  </pic:nvPicPr>
                  <pic:blipFill>
                    <a:blip r:embed="rId23"/>
                    <a:stretch>
                      <a:fillRect/>
                    </a:stretch>
                  </pic:blipFill>
                  <pic:spPr>
                    <a:xfrm>
                      <a:off x="0" y="0"/>
                      <a:ext cx="5274310" cy="2878284"/>
                    </a:xfrm>
                    <a:prstGeom prst="rect">
                      <a:avLst/>
                    </a:prstGeom>
                  </pic:spPr>
                </pic:pic>
              </a:graphicData>
            </a:graphic>
          </wp:inline>
        </w:drawing>
      </w:r>
    </w:p>
    <w:p>
      <w:pPr>
        <w:pStyle w:val="2"/>
        <w:jc w:val="center"/>
      </w:pPr>
      <w:r>
        <w:drawing>
          <wp:inline distT="0" distB="0" distL="0" distR="0">
            <wp:extent cx="5274310" cy="2487930"/>
            <wp:effectExtent l="0" t="0" r="2540" b="7620"/>
            <wp:docPr id="29"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true"/>
                    </pic:cNvPicPr>
                  </pic:nvPicPr>
                  <pic:blipFill>
                    <a:blip r:embed="rId24"/>
                    <a:stretch>
                      <a:fillRect/>
                    </a:stretch>
                  </pic:blipFill>
                  <pic:spPr>
                    <a:xfrm>
                      <a:off x="0" y="0"/>
                      <a:ext cx="5274310" cy="2488205"/>
                    </a:xfrm>
                    <a:prstGeom prst="rect">
                      <a:avLst/>
                    </a:prstGeom>
                  </pic:spPr>
                </pic:pic>
              </a:graphicData>
            </a:graphic>
          </wp:inline>
        </w:drawing>
      </w:r>
    </w:p>
    <w:p>
      <w:pPr>
        <w:pStyle w:val="2"/>
        <w:jc w:val="center"/>
      </w:pPr>
      <w:r>
        <w:drawing>
          <wp:inline distT="0" distB="0" distL="0" distR="0">
            <wp:extent cx="5274310" cy="2479675"/>
            <wp:effectExtent l="0" t="0" r="2540" b="0"/>
            <wp:docPr id="30"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true"/>
                    </pic:cNvPicPr>
                  </pic:nvPicPr>
                  <pic:blipFill>
                    <a:blip r:embed="rId25"/>
                    <a:stretch>
                      <a:fillRect/>
                    </a:stretch>
                  </pic:blipFill>
                  <pic:spPr>
                    <a:xfrm>
                      <a:off x="0" y="0"/>
                      <a:ext cx="5274310" cy="2480269"/>
                    </a:xfrm>
                    <a:prstGeom prst="rect">
                      <a:avLst/>
                    </a:prstGeom>
                  </pic:spPr>
                </pic:pic>
              </a:graphicData>
            </a:graphic>
          </wp:inline>
        </w:drawing>
      </w:r>
    </w:p>
    <w:p>
      <w:pPr>
        <w:pStyle w:val="2"/>
        <w:jc w:val="center"/>
      </w:pPr>
    </w:p>
    <w:p>
      <w:pPr>
        <w:pStyle w:val="2"/>
        <w:jc w:val="center"/>
      </w:pPr>
    </w:p>
    <w:p>
      <w:pPr>
        <w:pStyle w:val="2"/>
        <w:jc w:val="center"/>
      </w:pPr>
      <w:r>
        <w:drawing>
          <wp:inline distT="0" distB="0" distL="0" distR="0">
            <wp:extent cx="5274310" cy="2491740"/>
            <wp:effectExtent l="0" t="0" r="2540" b="3810"/>
            <wp:docPr id="31"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true"/>
                    </pic:cNvPicPr>
                  </pic:nvPicPr>
                  <pic:blipFill>
                    <a:blip r:embed="rId26"/>
                    <a:stretch>
                      <a:fillRect/>
                    </a:stretch>
                  </pic:blipFill>
                  <pic:spPr>
                    <a:xfrm>
                      <a:off x="0" y="0"/>
                      <a:ext cx="5274310" cy="2491867"/>
                    </a:xfrm>
                    <a:prstGeom prst="rect">
                      <a:avLst/>
                    </a:prstGeom>
                  </pic:spPr>
                </pic:pic>
              </a:graphicData>
            </a:graphic>
          </wp:inline>
        </w:drawing>
      </w:r>
    </w:p>
    <w:p>
      <w:pPr>
        <w:pStyle w:val="2"/>
        <w:jc w:val="center"/>
      </w:pPr>
      <w:r>
        <w:drawing>
          <wp:inline distT="0" distB="0" distL="0" distR="0">
            <wp:extent cx="5274310" cy="2428240"/>
            <wp:effectExtent l="0" t="0" r="2540" b="0"/>
            <wp:docPr id="32"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true"/>
                    </pic:cNvPicPr>
                  </pic:nvPicPr>
                  <pic:blipFill>
                    <a:blip r:embed="rId27"/>
                    <a:stretch>
                      <a:fillRect/>
                    </a:stretch>
                  </pic:blipFill>
                  <pic:spPr>
                    <a:xfrm>
                      <a:off x="0" y="0"/>
                      <a:ext cx="5274310" cy="2428380"/>
                    </a:xfrm>
                    <a:prstGeom prst="rect">
                      <a:avLst/>
                    </a:prstGeom>
                  </pic:spPr>
                </pic:pic>
              </a:graphicData>
            </a:graphic>
          </wp:inline>
        </w:drawing>
      </w:r>
    </w:p>
    <w:p>
      <w:pPr>
        <w:pStyle w:val="2"/>
        <w:jc w:val="center"/>
      </w:pPr>
      <w:r>
        <w:drawing>
          <wp:inline distT="0" distB="0" distL="0" distR="0">
            <wp:extent cx="5274310" cy="2514600"/>
            <wp:effectExtent l="0" t="0" r="2540" b="0"/>
            <wp:docPr id="33"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true"/>
                    </pic:cNvPicPr>
                  </pic:nvPicPr>
                  <pic:blipFill>
                    <a:blip r:embed="rId28"/>
                    <a:stretch>
                      <a:fillRect/>
                    </a:stretch>
                  </pic:blipFill>
                  <pic:spPr>
                    <a:xfrm>
                      <a:off x="0" y="0"/>
                      <a:ext cx="5274310" cy="2515064"/>
                    </a:xfrm>
                    <a:prstGeom prst="rect">
                      <a:avLst/>
                    </a:prstGeom>
                  </pic:spPr>
                </pic:pic>
              </a:graphicData>
            </a:graphic>
          </wp:inline>
        </w:drawing>
      </w:r>
    </w:p>
    <w:p>
      <w:pPr>
        <w:pStyle w:val="2"/>
        <w:jc w:val="center"/>
      </w:pPr>
      <w:r>
        <w:drawing>
          <wp:inline distT="0" distB="0" distL="0" distR="0">
            <wp:extent cx="5274310" cy="2700655"/>
            <wp:effectExtent l="0" t="0" r="2540" b="4445"/>
            <wp:docPr id="34"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true"/>
                    </pic:cNvPicPr>
                  </pic:nvPicPr>
                  <pic:blipFill>
                    <a:blip r:embed="rId29"/>
                    <a:stretch>
                      <a:fillRect/>
                    </a:stretch>
                  </pic:blipFill>
                  <pic:spPr>
                    <a:xfrm>
                      <a:off x="0" y="0"/>
                      <a:ext cx="5274310" cy="2701253"/>
                    </a:xfrm>
                    <a:prstGeom prst="rect">
                      <a:avLst/>
                    </a:prstGeom>
                  </pic:spPr>
                </pic:pic>
              </a:graphicData>
            </a:graphic>
          </wp:inline>
        </w:drawing>
      </w:r>
    </w:p>
    <w:p>
      <w:pPr>
        <w:pStyle w:val="2"/>
        <w:jc w:val="center"/>
      </w:pPr>
      <w:r>
        <w:drawing>
          <wp:inline distT="0" distB="0" distL="0" distR="0">
            <wp:extent cx="5274310" cy="2516505"/>
            <wp:effectExtent l="0" t="0" r="2540" b="0"/>
            <wp:docPr id="35"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true"/>
                    </pic:cNvPicPr>
                  </pic:nvPicPr>
                  <pic:blipFill>
                    <a:blip r:embed="rId30"/>
                    <a:stretch>
                      <a:fillRect/>
                    </a:stretch>
                  </pic:blipFill>
                  <pic:spPr>
                    <a:xfrm>
                      <a:off x="0" y="0"/>
                      <a:ext cx="5274310" cy="2516896"/>
                    </a:xfrm>
                    <a:prstGeom prst="rect">
                      <a:avLst/>
                    </a:prstGeom>
                  </pic:spPr>
                </pic:pic>
              </a:graphicData>
            </a:graphic>
          </wp:inline>
        </w:drawing>
      </w:r>
    </w:p>
    <w:p>
      <w:pPr>
        <w:pStyle w:val="2"/>
        <w:jc w:val="center"/>
      </w:pPr>
      <w:r>
        <w:drawing>
          <wp:inline distT="0" distB="0" distL="0" distR="0">
            <wp:extent cx="5274310" cy="2906395"/>
            <wp:effectExtent l="0" t="0" r="2540" b="8255"/>
            <wp:docPr id="36"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true"/>
                    </pic:cNvPicPr>
                  </pic:nvPicPr>
                  <pic:blipFill>
                    <a:blip r:embed="rId31"/>
                    <a:stretch>
                      <a:fillRect/>
                    </a:stretch>
                  </pic:blipFill>
                  <pic:spPr>
                    <a:xfrm>
                      <a:off x="0" y="0"/>
                      <a:ext cx="5274310" cy="2906975"/>
                    </a:xfrm>
                    <a:prstGeom prst="rect">
                      <a:avLst/>
                    </a:prstGeom>
                  </pic:spPr>
                </pic:pic>
              </a:graphicData>
            </a:graphic>
          </wp:inline>
        </w:drawing>
      </w:r>
    </w:p>
    <w:p>
      <w:pPr>
        <w:pStyle w:val="2"/>
        <w:jc w:val="center"/>
      </w:pPr>
    </w:p>
    <w:p>
      <w:pPr>
        <w:pStyle w:val="2"/>
        <w:jc w:val="center"/>
      </w:pPr>
    </w:p>
    <w:p>
      <w:pPr>
        <w:pStyle w:val="2"/>
        <w:jc w:val="center"/>
      </w:pPr>
      <w:r>
        <w:drawing>
          <wp:inline distT="0" distB="0" distL="0" distR="0">
            <wp:extent cx="5274310" cy="2508250"/>
            <wp:effectExtent l="0" t="0" r="2540" b="6350"/>
            <wp:docPr id="37" name="图片 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true"/>
                    </pic:cNvPicPr>
                  </pic:nvPicPr>
                  <pic:blipFill>
                    <a:blip r:embed="rId32"/>
                    <a:stretch>
                      <a:fillRect/>
                    </a:stretch>
                  </pic:blipFill>
                  <pic:spPr>
                    <a:xfrm>
                      <a:off x="0" y="0"/>
                      <a:ext cx="5274310" cy="2508350"/>
                    </a:xfrm>
                    <a:prstGeom prst="rect">
                      <a:avLst/>
                    </a:prstGeom>
                  </pic:spPr>
                </pic:pic>
              </a:graphicData>
            </a:graphic>
          </wp:inline>
        </w:drawing>
      </w:r>
    </w:p>
    <w:p>
      <w:pPr>
        <w:pStyle w:val="2"/>
        <w:jc w:val="center"/>
      </w:pPr>
      <w:r>
        <w:drawing>
          <wp:inline distT="0" distB="0" distL="0" distR="0">
            <wp:extent cx="5274310" cy="2511425"/>
            <wp:effectExtent l="0" t="0" r="2540" b="3175"/>
            <wp:docPr id="38"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true"/>
                    </pic:cNvPicPr>
                  </pic:nvPicPr>
                  <pic:blipFill>
                    <a:blip r:embed="rId33"/>
                    <a:stretch>
                      <a:fillRect/>
                    </a:stretch>
                  </pic:blipFill>
                  <pic:spPr>
                    <a:xfrm>
                      <a:off x="0" y="0"/>
                      <a:ext cx="5274310" cy="2512012"/>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楷体">
    <w:altName w:val="方正楷体_GBK"/>
    <w:panose1 w:val="02010609060101010101"/>
    <w:charset w:val="86"/>
    <w:family w:val="modern"/>
    <w:pitch w:val="default"/>
    <w:sig w:usb0="00000000" w:usb1="00000000" w:usb2="00000016" w:usb3="00000000" w:csb0="00040001" w:csb1="00000000"/>
  </w:font>
  <w:font w:name="仿宋_GB2312">
    <w:altName w:val="方正仿宋_GBK"/>
    <w:panose1 w:val="00000000000000000000"/>
    <w:charset w:val="86"/>
    <w:family w:val="modern"/>
    <w:pitch w:val="default"/>
    <w:sig w:usb0="00000000" w:usb1="00000000" w:usb2="00000010" w:usb3="00000000" w:csb0="00040000" w:csb1="00000000"/>
  </w:font>
  <w:font w:name="楷体_GB2312">
    <w:altName w:val="方正楷体_GBK"/>
    <w:panose1 w:val="00000000000000000000"/>
    <w:charset w:val="86"/>
    <w:family w:val="modern"/>
    <w:pitch w:val="default"/>
    <w:sig w:usb0="00000000" w:usb1="00000000" w:usb2="00000000" w:usb3="00000000" w:csb0="00040000" w:csb1="00000000"/>
  </w:font>
  <w:font w:name="仿宋">
    <w:altName w:val="方正仿宋_GBK"/>
    <w:panose1 w:val="02010609060101010101"/>
    <w:charset w:val="86"/>
    <w:family w:val="modern"/>
    <w:pitch w:val="default"/>
    <w:sig w:usb0="00000000" w:usb1="00000000" w:usb2="00000016" w:usb3="00000000" w:csb0="00040001" w:csb1="00000000"/>
  </w:font>
  <w:font w:name="Verdana,ˎ̥">
    <w:altName w:val="Noto Serif CJK JP"/>
    <w:panose1 w:val="00000000000000000000"/>
    <w:charset w:val="00"/>
    <w:family w:val="roman"/>
    <w:pitch w:val="default"/>
    <w:sig w:usb0="00000000" w:usb1="00000000" w:usb2="00000000" w:usb3="00000000" w:csb0="00040001" w:csb1="00000000"/>
  </w:font>
  <w:font w:name="华文中宋">
    <w:altName w:val="汉仪中宋简"/>
    <w:panose1 w:val="02010600040101010101"/>
    <w:charset w:val="86"/>
    <w:family w:val="auto"/>
    <w:pitch w:val="default"/>
    <w:sig w:usb0="00000000" w:usb1="00000000" w:usb2="00000000" w:usb3="00000000" w:csb0="0004009F" w:csb1="DFD70000"/>
  </w:font>
  <w:font w:name="方正书宋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楷体_GBK">
    <w:panose1 w:val="02000000000000000000"/>
    <w:charset w:val="86"/>
    <w:family w:val="auto"/>
    <w:pitch w:val="default"/>
    <w:sig w:usb0="00000001" w:usb1="08000000" w:usb2="00000000" w:usb3="00000000" w:csb0="00040000" w:csb1="00000000"/>
  </w:font>
  <w:font w:name="汉仪中宋简">
    <w:panose1 w:val="02010600000101010101"/>
    <w:charset w:val="86"/>
    <w:family w:val="auto"/>
    <w:pitch w:val="default"/>
    <w:sig w:usb0="00000001" w:usb1="080E0800" w:usb2="00000002"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A31E1B"/>
    <w:multiLevelType w:val="singleLevel"/>
    <w:tmpl w:val="81A31E1B"/>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true"/>
  <w:bordersDoNotSurroundFooter w:val="true"/>
  <w:documentProtection w:enforcement="0"/>
  <w:defaultTabStop w:val="420"/>
  <w:drawingGridVerticalSpacing w:val="156"/>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Q5MjNmODI1NWQzNDM2OTJiMzcxOWU3ODcwMWZkOTcifQ=="/>
  </w:docVars>
  <w:rsids>
    <w:rsidRoot w:val="75F342C3"/>
    <w:rsid w:val="000116D8"/>
    <w:rsid w:val="0001214C"/>
    <w:rsid w:val="00067152"/>
    <w:rsid w:val="00094B2E"/>
    <w:rsid w:val="00170092"/>
    <w:rsid w:val="001F55A3"/>
    <w:rsid w:val="00263A81"/>
    <w:rsid w:val="003F5F2A"/>
    <w:rsid w:val="004F6679"/>
    <w:rsid w:val="006361E2"/>
    <w:rsid w:val="00841298"/>
    <w:rsid w:val="00933D2E"/>
    <w:rsid w:val="009B3BC2"/>
    <w:rsid w:val="00A22D13"/>
    <w:rsid w:val="00A97F37"/>
    <w:rsid w:val="00AA1562"/>
    <w:rsid w:val="00AC3BBA"/>
    <w:rsid w:val="00C04B06"/>
    <w:rsid w:val="00C52ADF"/>
    <w:rsid w:val="00D27CE8"/>
    <w:rsid w:val="00DB4886"/>
    <w:rsid w:val="018252E0"/>
    <w:rsid w:val="01A7647D"/>
    <w:rsid w:val="01B33237"/>
    <w:rsid w:val="01C56903"/>
    <w:rsid w:val="01CD7566"/>
    <w:rsid w:val="01DE453E"/>
    <w:rsid w:val="021A5896"/>
    <w:rsid w:val="02253FA4"/>
    <w:rsid w:val="022A4754"/>
    <w:rsid w:val="02300221"/>
    <w:rsid w:val="02557C87"/>
    <w:rsid w:val="02A72A6D"/>
    <w:rsid w:val="02B04EBD"/>
    <w:rsid w:val="02B40E52"/>
    <w:rsid w:val="02B6697E"/>
    <w:rsid w:val="02C64C07"/>
    <w:rsid w:val="034A69B1"/>
    <w:rsid w:val="03BD1FB5"/>
    <w:rsid w:val="03CD2F4A"/>
    <w:rsid w:val="03F851BC"/>
    <w:rsid w:val="042469F8"/>
    <w:rsid w:val="04477B9D"/>
    <w:rsid w:val="04891CCB"/>
    <w:rsid w:val="0490144A"/>
    <w:rsid w:val="04956A61"/>
    <w:rsid w:val="04A9769D"/>
    <w:rsid w:val="0506170D"/>
    <w:rsid w:val="050654A0"/>
    <w:rsid w:val="05315C6D"/>
    <w:rsid w:val="05622AFC"/>
    <w:rsid w:val="05625D34"/>
    <w:rsid w:val="05972350"/>
    <w:rsid w:val="05D57F98"/>
    <w:rsid w:val="06064C2C"/>
    <w:rsid w:val="063607E2"/>
    <w:rsid w:val="06364E41"/>
    <w:rsid w:val="06810F37"/>
    <w:rsid w:val="06984B35"/>
    <w:rsid w:val="069B7E16"/>
    <w:rsid w:val="06CD6A74"/>
    <w:rsid w:val="06D575E9"/>
    <w:rsid w:val="070E784E"/>
    <w:rsid w:val="0738472E"/>
    <w:rsid w:val="07464042"/>
    <w:rsid w:val="0759138E"/>
    <w:rsid w:val="076E4010"/>
    <w:rsid w:val="07ED2710"/>
    <w:rsid w:val="07FA6D1B"/>
    <w:rsid w:val="08042260"/>
    <w:rsid w:val="080E5E4C"/>
    <w:rsid w:val="086A3D60"/>
    <w:rsid w:val="086F75C9"/>
    <w:rsid w:val="08A2310D"/>
    <w:rsid w:val="08FC31F9"/>
    <w:rsid w:val="091D0DD3"/>
    <w:rsid w:val="095C4ADF"/>
    <w:rsid w:val="098765F6"/>
    <w:rsid w:val="099A1F9B"/>
    <w:rsid w:val="09B10762"/>
    <w:rsid w:val="09B473FB"/>
    <w:rsid w:val="09E3413B"/>
    <w:rsid w:val="0A0700A1"/>
    <w:rsid w:val="0A870606"/>
    <w:rsid w:val="0A992F3D"/>
    <w:rsid w:val="0ABA0B82"/>
    <w:rsid w:val="0AED4AF2"/>
    <w:rsid w:val="0B0F0754"/>
    <w:rsid w:val="0B3D7D04"/>
    <w:rsid w:val="0B604621"/>
    <w:rsid w:val="0B700032"/>
    <w:rsid w:val="0BBB298F"/>
    <w:rsid w:val="0BDC5E22"/>
    <w:rsid w:val="0C01678A"/>
    <w:rsid w:val="0C881F7F"/>
    <w:rsid w:val="0C8B0470"/>
    <w:rsid w:val="0C930D47"/>
    <w:rsid w:val="0C957F22"/>
    <w:rsid w:val="0C9A4120"/>
    <w:rsid w:val="0CC527B6"/>
    <w:rsid w:val="0CD745A0"/>
    <w:rsid w:val="0CFF00F7"/>
    <w:rsid w:val="0D6D3A2F"/>
    <w:rsid w:val="0D7A5607"/>
    <w:rsid w:val="0D99141F"/>
    <w:rsid w:val="0DA53A23"/>
    <w:rsid w:val="0DD56120"/>
    <w:rsid w:val="0DD76869"/>
    <w:rsid w:val="0DE8353B"/>
    <w:rsid w:val="0DFB64F3"/>
    <w:rsid w:val="0EED3ACF"/>
    <w:rsid w:val="0EEE5E2D"/>
    <w:rsid w:val="0F0D5446"/>
    <w:rsid w:val="0F1900EC"/>
    <w:rsid w:val="0F226F93"/>
    <w:rsid w:val="0F4931CA"/>
    <w:rsid w:val="0F5F2C0B"/>
    <w:rsid w:val="0F7363AC"/>
    <w:rsid w:val="0FA8003E"/>
    <w:rsid w:val="0FCB1589"/>
    <w:rsid w:val="0FF43E9A"/>
    <w:rsid w:val="101D15C4"/>
    <w:rsid w:val="102D2123"/>
    <w:rsid w:val="10641800"/>
    <w:rsid w:val="108E412B"/>
    <w:rsid w:val="10CA65D0"/>
    <w:rsid w:val="10E943BC"/>
    <w:rsid w:val="110917DE"/>
    <w:rsid w:val="113A2EAF"/>
    <w:rsid w:val="116B03D6"/>
    <w:rsid w:val="11A115D9"/>
    <w:rsid w:val="11B26FAA"/>
    <w:rsid w:val="123478B9"/>
    <w:rsid w:val="12992517"/>
    <w:rsid w:val="12AF57CC"/>
    <w:rsid w:val="12B10726"/>
    <w:rsid w:val="12CF14F9"/>
    <w:rsid w:val="12DE7825"/>
    <w:rsid w:val="130F618C"/>
    <w:rsid w:val="13596425"/>
    <w:rsid w:val="136A265D"/>
    <w:rsid w:val="13750189"/>
    <w:rsid w:val="13AE06C7"/>
    <w:rsid w:val="13EC7836"/>
    <w:rsid w:val="14116CBB"/>
    <w:rsid w:val="141B6BFE"/>
    <w:rsid w:val="14883EEC"/>
    <w:rsid w:val="14BF5434"/>
    <w:rsid w:val="14CA6DE9"/>
    <w:rsid w:val="14FF664A"/>
    <w:rsid w:val="1505553D"/>
    <w:rsid w:val="15A5287C"/>
    <w:rsid w:val="161055F4"/>
    <w:rsid w:val="161F262E"/>
    <w:rsid w:val="163B25C2"/>
    <w:rsid w:val="16781AC3"/>
    <w:rsid w:val="168E3310"/>
    <w:rsid w:val="16CA6D52"/>
    <w:rsid w:val="16EB2510"/>
    <w:rsid w:val="1705307C"/>
    <w:rsid w:val="17055944"/>
    <w:rsid w:val="174D4F79"/>
    <w:rsid w:val="174E27D8"/>
    <w:rsid w:val="17937503"/>
    <w:rsid w:val="17A41277"/>
    <w:rsid w:val="17DA1E3E"/>
    <w:rsid w:val="1800023D"/>
    <w:rsid w:val="18062DF3"/>
    <w:rsid w:val="184D693C"/>
    <w:rsid w:val="186D1565"/>
    <w:rsid w:val="187453DC"/>
    <w:rsid w:val="188730CA"/>
    <w:rsid w:val="18B828C6"/>
    <w:rsid w:val="19294D35"/>
    <w:rsid w:val="19742C91"/>
    <w:rsid w:val="19DC52F2"/>
    <w:rsid w:val="19EE4158"/>
    <w:rsid w:val="1A262709"/>
    <w:rsid w:val="1A2B642B"/>
    <w:rsid w:val="1A2E4BEE"/>
    <w:rsid w:val="1A353C66"/>
    <w:rsid w:val="1A852FE8"/>
    <w:rsid w:val="1ACE2D82"/>
    <w:rsid w:val="1AD85B7E"/>
    <w:rsid w:val="1B1B4670"/>
    <w:rsid w:val="1B824677"/>
    <w:rsid w:val="1B9A62B3"/>
    <w:rsid w:val="1BA230A3"/>
    <w:rsid w:val="1C331236"/>
    <w:rsid w:val="1CB05D8E"/>
    <w:rsid w:val="1CC96460"/>
    <w:rsid w:val="1D26096A"/>
    <w:rsid w:val="1D2C7671"/>
    <w:rsid w:val="1D571CEE"/>
    <w:rsid w:val="1D590DBC"/>
    <w:rsid w:val="1DC57394"/>
    <w:rsid w:val="1DD83381"/>
    <w:rsid w:val="1E171E3D"/>
    <w:rsid w:val="1EB31D21"/>
    <w:rsid w:val="1F083776"/>
    <w:rsid w:val="1F413876"/>
    <w:rsid w:val="1F4746D3"/>
    <w:rsid w:val="1F4D0DE8"/>
    <w:rsid w:val="1FAD4807"/>
    <w:rsid w:val="2058418E"/>
    <w:rsid w:val="20696A06"/>
    <w:rsid w:val="20EA55E7"/>
    <w:rsid w:val="20EE536C"/>
    <w:rsid w:val="20FD431B"/>
    <w:rsid w:val="2112538E"/>
    <w:rsid w:val="211C218F"/>
    <w:rsid w:val="21270E98"/>
    <w:rsid w:val="216A7D10"/>
    <w:rsid w:val="217858A1"/>
    <w:rsid w:val="21AB2FC8"/>
    <w:rsid w:val="22255DE6"/>
    <w:rsid w:val="224776AC"/>
    <w:rsid w:val="228A0F1D"/>
    <w:rsid w:val="228A1E51"/>
    <w:rsid w:val="22905E14"/>
    <w:rsid w:val="22A36827"/>
    <w:rsid w:val="23152DEF"/>
    <w:rsid w:val="23160915"/>
    <w:rsid w:val="234C210E"/>
    <w:rsid w:val="237D2857"/>
    <w:rsid w:val="239413D7"/>
    <w:rsid w:val="23D60789"/>
    <w:rsid w:val="243257BC"/>
    <w:rsid w:val="2443398C"/>
    <w:rsid w:val="2456645D"/>
    <w:rsid w:val="245A0E23"/>
    <w:rsid w:val="245A27D7"/>
    <w:rsid w:val="249A618B"/>
    <w:rsid w:val="24A755C2"/>
    <w:rsid w:val="24EE262B"/>
    <w:rsid w:val="24F813C8"/>
    <w:rsid w:val="24F820DF"/>
    <w:rsid w:val="252A6AFE"/>
    <w:rsid w:val="25604F32"/>
    <w:rsid w:val="257B4D1E"/>
    <w:rsid w:val="258D4B21"/>
    <w:rsid w:val="25CE6900"/>
    <w:rsid w:val="262C1E5A"/>
    <w:rsid w:val="264B2FCC"/>
    <w:rsid w:val="26BB16FF"/>
    <w:rsid w:val="26FB30A6"/>
    <w:rsid w:val="27400537"/>
    <w:rsid w:val="2753038A"/>
    <w:rsid w:val="277C4B2C"/>
    <w:rsid w:val="27801050"/>
    <w:rsid w:val="278E7F91"/>
    <w:rsid w:val="27AE55C0"/>
    <w:rsid w:val="27C44DE4"/>
    <w:rsid w:val="27F31605"/>
    <w:rsid w:val="27FC2237"/>
    <w:rsid w:val="281117D3"/>
    <w:rsid w:val="28291A89"/>
    <w:rsid w:val="282F155D"/>
    <w:rsid w:val="28AC0F4F"/>
    <w:rsid w:val="28C23F15"/>
    <w:rsid w:val="28E11C37"/>
    <w:rsid w:val="28EA087A"/>
    <w:rsid w:val="2929760E"/>
    <w:rsid w:val="29513A29"/>
    <w:rsid w:val="295E2BEF"/>
    <w:rsid w:val="29AD57FB"/>
    <w:rsid w:val="29E626CA"/>
    <w:rsid w:val="2A025F9F"/>
    <w:rsid w:val="2A562B04"/>
    <w:rsid w:val="2A9767DF"/>
    <w:rsid w:val="2ABB6F69"/>
    <w:rsid w:val="2AE62BB7"/>
    <w:rsid w:val="2AED28A3"/>
    <w:rsid w:val="2C32224A"/>
    <w:rsid w:val="2C9F7BCD"/>
    <w:rsid w:val="2CEB49B0"/>
    <w:rsid w:val="2CED5BF9"/>
    <w:rsid w:val="2CF95C8F"/>
    <w:rsid w:val="2D012636"/>
    <w:rsid w:val="2D0A3299"/>
    <w:rsid w:val="2D377E06"/>
    <w:rsid w:val="2D787C84"/>
    <w:rsid w:val="2E0C3B37"/>
    <w:rsid w:val="2E7801B6"/>
    <w:rsid w:val="2F3F4178"/>
    <w:rsid w:val="2F600A70"/>
    <w:rsid w:val="2F60216C"/>
    <w:rsid w:val="2F6B791A"/>
    <w:rsid w:val="2F932FDD"/>
    <w:rsid w:val="2F953C5A"/>
    <w:rsid w:val="2FA05A0C"/>
    <w:rsid w:val="2FBE6EEA"/>
    <w:rsid w:val="30A30261"/>
    <w:rsid w:val="30F0345D"/>
    <w:rsid w:val="30F2476F"/>
    <w:rsid w:val="31041897"/>
    <w:rsid w:val="31612005"/>
    <w:rsid w:val="318B61EE"/>
    <w:rsid w:val="31A6555A"/>
    <w:rsid w:val="31AC685A"/>
    <w:rsid w:val="31CE2FF7"/>
    <w:rsid w:val="322A1CE7"/>
    <w:rsid w:val="32477D59"/>
    <w:rsid w:val="32607CD9"/>
    <w:rsid w:val="32A062D9"/>
    <w:rsid w:val="32A33E9B"/>
    <w:rsid w:val="32D63A0B"/>
    <w:rsid w:val="32F55942"/>
    <w:rsid w:val="331A1D5C"/>
    <w:rsid w:val="332360FD"/>
    <w:rsid w:val="333F662E"/>
    <w:rsid w:val="33541711"/>
    <w:rsid w:val="33BB46BD"/>
    <w:rsid w:val="33EB36F8"/>
    <w:rsid w:val="344164C5"/>
    <w:rsid w:val="346D1DE5"/>
    <w:rsid w:val="34C24459"/>
    <w:rsid w:val="34C33478"/>
    <w:rsid w:val="3520273C"/>
    <w:rsid w:val="35930145"/>
    <w:rsid w:val="35B50461"/>
    <w:rsid w:val="361656B2"/>
    <w:rsid w:val="36795C40"/>
    <w:rsid w:val="36DA0B1D"/>
    <w:rsid w:val="36E36539"/>
    <w:rsid w:val="370B7532"/>
    <w:rsid w:val="37180CA8"/>
    <w:rsid w:val="373164D8"/>
    <w:rsid w:val="37405B09"/>
    <w:rsid w:val="37960FF6"/>
    <w:rsid w:val="37A75B88"/>
    <w:rsid w:val="37B3112A"/>
    <w:rsid w:val="3804686A"/>
    <w:rsid w:val="383A6508"/>
    <w:rsid w:val="389B749B"/>
    <w:rsid w:val="391E6CA0"/>
    <w:rsid w:val="393C5488"/>
    <w:rsid w:val="398C37FF"/>
    <w:rsid w:val="399565E0"/>
    <w:rsid w:val="39A64751"/>
    <w:rsid w:val="39DC7EA0"/>
    <w:rsid w:val="39EF7744"/>
    <w:rsid w:val="39F7273B"/>
    <w:rsid w:val="3A103219"/>
    <w:rsid w:val="3A2A02C9"/>
    <w:rsid w:val="3A9A34E7"/>
    <w:rsid w:val="3AED63BF"/>
    <w:rsid w:val="3B0F5F1E"/>
    <w:rsid w:val="3B135A0E"/>
    <w:rsid w:val="3B150631"/>
    <w:rsid w:val="3B1D724F"/>
    <w:rsid w:val="3B4F5B85"/>
    <w:rsid w:val="3B610B38"/>
    <w:rsid w:val="3B626249"/>
    <w:rsid w:val="3B675D5A"/>
    <w:rsid w:val="3B6B584A"/>
    <w:rsid w:val="3B7C7A57"/>
    <w:rsid w:val="3B850D14"/>
    <w:rsid w:val="3BAE1D8B"/>
    <w:rsid w:val="3BC43C72"/>
    <w:rsid w:val="3BF21AC7"/>
    <w:rsid w:val="3C4165AB"/>
    <w:rsid w:val="3C6924C2"/>
    <w:rsid w:val="3CA66A7E"/>
    <w:rsid w:val="3D3167D7"/>
    <w:rsid w:val="3D657765"/>
    <w:rsid w:val="3E1A3557"/>
    <w:rsid w:val="3E3E2386"/>
    <w:rsid w:val="3E9D5FEC"/>
    <w:rsid w:val="3EFE13C0"/>
    <w:rsid w:val="3F0C1468"/>
    <w:rsid w:val="3F2B709E"/>
    <w:rsid w:val="3F2E330C"/>
    <w:rsid w:val="3F574D33"/>
    <w:rsid w:val="3F9373B9"/>
    <w:rsid w:val="3FBF0C31"/>
    <w:rsid w:val="3FFC242B"/>
    <w:rsid w:val="40005D8E"/>
    <w:rsid w:val="40094FB8"/>
    <w:rsid w:val="400F1005"/>
    <w:rsid w:val="402823B4"/>
    <w:rsid w:val="402F6769"/>
    <w:rsid w:val="40547078"/>
    <w:rsid w:val="40AF512D"/>
    <w:rsid w:val="40D678B7"/>
    <w:rsid w:val="40E87F10"/>
    <w:rsid w:val="40EA11C7"/>
    <w:rsid w:val="40EC741C"/>
    <w:rsid w:val="410032B1"/>
    <w:rsid w:val="4130442F"/>
    <w:rsid w:val="41381967"/>
    <w:rsid w:val="41516E84"/>
    <w:rsid w:val="41652D3C"/>
    <w:rsid w:val="41911676"/>
    <w:rsid w:val="41A8296F"/>
    <w:rsid w:val="41AB26D8"/>
    <w:rsid w:val="41B1042E"/>
    <w:rsid w:val="421A2C73"/>
    <w:rsid w:val="43004FCD"/>
    <w:rsid w:val="434370AD"/>
    <w:rsid w:val="43474762"/>
    <w:rsid w:val="434B549B"/>
    <w:rsid w:val="4377379B"/>
    <w:rsid w:val="43F119E5"/>
    <w:rsid w:val="44545E6E"/>
    <w:rsid w:val="447A6E2D"/>
    <w:rsid w:val="44DD7D00"/>
    <w:rsid w:val="44F905D5"/>
    <w:rsid w:val="45124F88"/>
    <w:rsid w:val="453808E7"/>
    <w:rsid w:val="457E173D"/>
    <w:rsid w:val="45821700"/>
    <w:rsid w:val="45992FB4"/>
    <w:rsid w:val="459B466C"/>
    <w:rsid w:val="45E9318D"/>
    <w:rsid w:val="45F8729C"/>
    <w:rsid w:val="46970D69"/>
    <w:rsid w:val="473D695B"/>
    <w:rsid w:val="474334D5"/>
    <w:rsid w:val="47534CFB"/>
    <w:rsid w:val="47A60B70"/>
    <w:rsid w:val="47B552AE"/>
    <w:rsid w:val="47C93BC5"/>
    <w:rsid w:val="47D5425A"/>
    <w:rsid w:val="47FD13AC"/>
    <w:rsid w:val="4800731A"/>
    <w:rsid w:val="487332FE"/>
    <w:rsid w:val="48FE2062"/>
    <w:rsid w:val="491B5E0C"/>
    <w:rsid w:val="49861E81"/>
    <w:rsid w:val="49995C78"/>
    <w:rsid w:val="49A35F26"/>
    <w:rsid w:val="4A66797D"/>
    <w:rsid w:val="4AB551F3"/>
    <w:rsid w:val="4B91363B"/>
    <w:rsid w:val="4BC02EFA"/>
    <w:rsid w:val="4BC34D4C"/>
    <w:rsid w:val="4BDD7677"/>
    <w:rsid w:val="4BDF1B3E"/>
    <w:rsid w:val="4BE26E2C"/>
    <w:rsid w:val="4BF350FD"/>
    <w:rsid w:val="4C4D4AF8"/>
    <w:rsid w:val="4C5F6071"/>
    <w:rsid w:val="4CBF4E63"/>
    <w:rsid w:val="4CC15215"/>
    <w:rsid w:val="4CC4090C"/>
    <w:rsid w:val="4D100502"/>
    <w:rsid w:val="4D4B10BE"/>
    <w:rsid w:val="4D5F1E73"/>
    <w:rsid w:val="4D6B74CB"/>
    <w:rsid w:val="4DBA3538"/>
    <w:rsid w:val="4DCF7EBB"/>
    <w:rsid w:val="4E016951"/>
    <w:rsid w:val="4E0D57BA"/>
    <w:rsid w:val="4E48084B"/>
    <w:rsid w:val="4E4863F7"/>
    <w:rsid w:val="4E5E123E"/>
    <w:rsid w:val="4E73152F"/>
    <w:rsid w:val="4EF43951"/>
    <w:rsid w:val="4F0040A4"/>
    <w:rsid w:val="4F4E37DC"/>
    <w:rsid w:val="4F7D1D9E"/>
    <w:rsid w:val="4FB63301"/>
    <w:rsid w:val="4FC81BF6"/>
    <w:rsid w:val="4FD032D6"/>
    <w:rsid w:val="5063344A"/>
    <w:rsid w:val="506F328F"/>
    <w:rsid w:val="508D1967"/>
    <w:rsid w:val="50AD6D11"/>
    <w:rsid w:val="518C39D0"/>
    <w:rsid w:val="5196243B"/>
    <w:rsid w:val="51B262DB"/>
    <w:rsid w:val="51D61F9B"/>
    <w:rsid w:val="51EB6BB6"/>
    <w:rsid w:val="51F3035D"/>
    <w:rsid w:val="52191F28"/>
    <w:rsid w:val="521A4E0C"/>
    <w:rsid w:val="52696AEF"/>
    <w:rsid w:val="52902C6B"/>
    <w:rsid w:val="52A936F2"/>
    <w:rsid w:val="52AF7069"/>
    <w:rsid w:val="52E851BE"/>
    <w:rsid w:val="535515B6"/>
    <w:rsid w:val="537C0E91"/>
    <w:rsid w:val="53905437"/>
    <w:rsid w:val="539E5D0E"/>
    <w:rsid w:val="53B94B37"/>
    <w:rsid w:val="53DC6FE8"/>
    <w:rsid w:val="54210E0A"/>
    <w:rsid w:val="54481251"/>
    <w:rsid w:val="545D2A46"/>
    <w:rsid w:val="54A85518"/>
    <w:rsid w:val="54D12FF9"/>
    <w:rsid w:val="55037EB5"/>
    <w:rsid w:val="551D6867"/>
    <w:rsid w:val="55586BD4"/>
    <w:rsid w:val="55676C2B"/>
    <w:rsid w:val="55AA23A8"/>
    <w:rsid w:val="55CA1562"/>
    <w:rsid w:val="55EC6846"/>
    <w:rsid w:val="561D378D"/>
    <w:rsid w:val="56A2529A"/>
    <w:rsid w:val="56ED0A6E"/>
    <w:rsid w:val="57064221"/>
    <w:rsid w:val="570A1F63"/>
    <w:rsid w:val="573953E8"/>
    <w:rsid w:val="575D0E41"/>
    <w:rsid w:val="57831D16"/>
    <w:rsid w:val="57980FBE"/>
    <w:rsid w:val="580827E8"/>
    <w:rsid w:val="58285569"/>
    <w:rsid w:val="58A11DBE"/>
    <w:rsid w:val="58A76A8C"/>
    <w:rsid w:val="58B2640F"/>
    <w:rsid w:val="58B645EF"/>
    <w:rsid w:val="58C802EA"/>
    <w:rsid w:val="58D776D1"/>
    <w:rsid w:val="58DA7713"/>
    <w:rsid w:val="58DF2F7C"/>
    <w:rsid w:val="58FB72D6"/>
    <w:rsid w:val="591052E1"/>
    <w:rsid w:val="59255607"/>
    <w:rsid w:val="596F55D3"/>
    <w:rsid w:val="59865C31"/>
    <w:rsid w:val="599D20C8"/>
    <w:rsid w:val="59DD395F"/>
    <w:rsid w:val="59F51ABA"/>
    <w:rsid w:val="59FC0840"/>
    <w:rsid w:val="5A236E98"/>
    <w:rsid w:val="5A333D55"/>
    <w:rsid w:val="5A6F1B9E"/>
    <w:rsid w:val="5A9A270B"/>
    <w:rsid w:val="5ABE7E1B"/>
    <w:rsid w:val="5B8F5B58"/>
    <w:rsid w:val="5BB97AB4"/>
    <w:rsid w:val="5BC62EA9"/>
    <w:rsid w:val="5BD20E64"/>
    <w:rsid w:val="5C3671D7"/>
    <w:rsid w:val="5C4770EB"/>
    <w:rsid w:val="5C4B51CC"/>
    <w:rsid w:val="5C835B00"/>
    <w:rsid w:val="5D204551"/>
    <w:rsid w:val="5D5A0CD6"/>
    <w:rsid w:val="5D775273"/>
    <w:rsid w:val="5E0B017F"/>
    <w:rsid w:val="5E604A71"/>
    <w:rsid w:val="5E850121"/>
    <w:rsid w:val="5E961547"/>
    <w:rsid w:val="5E961869"/>
    <w:rsid w:val="5E9F2DA1"/>
    <w:rsid w:val="5F2142EE"/>
    <w:rsid w:val="5F361E8A"/>
    <w:rsid w:val="5F5618C3"/>
    <w:rsid w:val="5F7847CB"/>
    <w:rsid w:val="5FBA62A4"/>
    <w:rsid w:val="5FC2727A"/>
    <w:rsid w:val="5FD52689"/>
    <w:rsid w:val="5FEB6E14"/>
    <w:rsid w:val="5FFE018B"/>
    <w:rsid w:val="60395667"/>
    <w:rsid w:val="604013C0"/>
    <w:rsid w:val="605C3C37"/>
    <w:rsid w:val="60634492"/>
    <w:rsid w:val="609D2551"/>
    <w:rsid w:val="60A76A75"/>
    <w:rsid w:val="60BA75A0"/>
    <w:rsid w:val="60D013CF"/>
    <w:rsid w:val="60D0691D"/>
    <w:rsid w:val="60E15AE4"/>
    <w:rsid w:val="610D0DAB"/>
    <w:rsid w:val="612F6F8F"/>
    <w:rsid w:val="617146D8"/>
    <w:rsid w:val="61851695"/>
    <w:rsid w:val="61C3608D"/>
    <w:rsid w:val="61D62420"/>
    <w:rsid w:val="62455B6A"/>
    <w:rsid w:val="62633B22"/>
    <w:rsid w:val="62840E50"/>
    <w:rsid w:val="628C4380"/>
    <w:rsid w:val="62EC69C1"/>
    <w:rsid w:val="63487343"/>
    <w:rsid w:val="63E4521E"/>
    <w:rsid w:val="63E57D79"/>
    <w:rsid w:val="63E87188"/>
    <w:rsid w:val="63EBDBA6"/>
    <w:rsid w:val="64314FA9"/>
    <w:rsid w:val="644E26B8"/>
    <w:rsid w:val="645B7686"/>
    <w:rsid w:val="64682077"/>
    <w:rsid w:val="64970BAF"/>
    <w:rsid w:val="64AB7761"/>
    <w:rsid w:val="64B21493"/>
    <w:rsid w:val="64DC252D"/>
    <w:rsid w:val="64E7050F"/>
    <w:rsid w:val="6506411F"/>
    <w:rsid w:val="652A615B"/>
    <w:rsid w:val="653D2F3F"/>
    <w:rsid w:val="65555212"/>
    <w:rsid w:val="65BD63F3"/>
    <w:rsid w:val="65CD54EE"/>
    <w:rsid w:val="65CF13C9"/>
    <w:rsid w:val="65E537AA"/>
    <w:rsid w:val="665C3E5E"/>
    <w:rsid w:val="66925AD1"/>
    <w:rsid w:val="66CC361E"/>
    <w:rsid w:val="66E6319E"/>
    <w:rsid w:val="66E87BED"/>
    <w:rsid w:val="66ED352D"/>
    <w:rsid w:val="66FE3C2E"/>
    <w:rsid w:val="67056085"/>
    <w:rsid w:val="672908AE"/>
    <w:rsid w:val="675B2FB5"/>
    <w:rsid w:val="67672ABA"/>
    <w:rsid w:val="676D71B9"/>
    <w:rsid w:val="676F218E"/>
    <w:rsid w:val="67790A16"/>
    <w:rsid w:val="679B2764"/>
    <w:rsid w:val="67C022D5"/>
    <w:rsid w:val="68297482"/>
    <w:rsid w:val="683823D8"/>
    <w:rsid w:val="686D5298"/>
    <w:rsid w:val="68955AB9"/>
    <w:rsid w:val="68AB33F9"/>
    <w:rsid w:val="68D107D9"/>
    <w:rsid w:val="68E7705B"/>
    <w:rsid w:val="69164B49"/>
    <w:rsid w:val="698328DE"/>
    <w:rsid w:val="69DC7360"/>
    <w:rsid w:val="6A2829D5"/>
    <w:rsid w:val="6A415844"/>
    <w:rsid w:val="6A4B7577"/>
    <w:rsid w:val="6A9C2A7B"/>
    <w:rsid w:val="6AA65F79"/>
    <w:rsid w:val="6AF45088"/>
    <w:rsid w:val="6B136D03"/>
    <w:rsid w:val="6B7E03D2"/>
    <w:rsid w:val="6B8F25DF"/>
    <w:rsid w:val="6BA87ED2"/>
    <w:rsid w:val="6BC04E8F"/>
    <w:rsid w:val="6C2C42D2"/>
    <w:rsid w:val="6C5B0556"/>
    <w:rsid w:val="6C9A123C"/>
    <w:rsid w:val="6CCC24F2"/>
    <w:rsid w:val="6CF33BF8"/>
    <w:rsid w:val="6D1723E4"/>
    <w:rsid w:val="6D2D3DFC"/>
    <w:rsid w:val="6D342192"/>
    <w:rsid w:val="6D4D4500"/>
    <w:rsid w:val="6DC50416"/>
    <w:rsid w:val="6DD93FE6"/>
    <w:rsid w:val="6DE65DA0"/>
    <w:rsid w:val="6E1B36E5"/>
    <w:rsid w:val="6EBA5BC5"/>
    <w:rsid w:val="6ED441CD"/>
    <w:rsid w:val="6EF118EF"/>
    <w:rsid w:val="6EFD5C1F"/>
    <w:rsid w:val="6EFE48C7"/>
    <w:rsid w:val="6F1F6764"/>
    <w:rsid w:val="6F2A43DD"/>
    <w:rsid w:val="6FC36CFC"/>
    <w:rsid w:val="6FCC795E"/>
    <w:rsid w:val="6FE1606F"/>
    <w:rsid w:val="701F3891"/>
    <w:rsid w:val="707A560C"/>
    <w:rsid w:val="708E2E66"/>
    <w:rsid w:val="70C00524"/>
    <w:rsid w:val="70EE4DF0"/>
    <w:rsid w:val="70FB515E"/>
    <w:rsid w:val="71407FC6"/>
    <w:rsid w:val="714D1ABA"/>
    <w:rsid w:val="71820472"/>
    <w:rsid w:val="719923F6"/>
    <w:rsid w:val="71CC00F1"/>
    <w:rsid w:val="71E573FD"/>
    <w:rsid w:val="72392D56"/>
    <w:rsid w:val="724F0D1A"/>
    <w:rsid w:val="72841395"/>
    <w:rsid w:val="72C21831"/>
    <w:rsid w:val="72FD2905"/>
    <w:rsid w:val="73A46D7A"/>
    <w:rsid w:val="73BE3A62"/>
    <w:rsid w:val="73C46BF3"/>
    <w:rsid w:val="73DF13EF"/>
    <w:rsid w:val="74281823"/>
    <w:rsid w:val="74310DAF"/>
    <w:rsid w:val="747D1344"/>
    <w:rsid w:val="748C3E94"/>
    <w:rsid w:val="74933A2A"/>
    <w:rsid w:val="74982505"/>
    <w:rsid w:val="7520677E"/>
    <w:rsid w:val="752470DC"/>
    <w:rsid w:val="75342879"/>
    <w:rsid w:val="753C02F3"/>
    <w:rsid w:val="7553467E"/>
    <w:rsid w:val="756E14B8"/>
    <w:rsid w:val="759727BC"/>
    <w:rsid w:val="75C630A2"/>
    <w:rsid w:val="75E43528"/>
    <w:rsid w:val="75F342C3"/>
    <w:rsid w:val="760E3109"/>
    <w:rsid w:val="76393874"/>
    <w:rsid w:val="76585881"/>
    <w:rsid w:val="766C3C49"/>
    <w:rsid w:val="768F16E6"/>
    <w:rsid w:val="76913229"/>
    <w:rsid w:val="76E41A31"/>
    <w:rsid w:val="770F482D"/>
    <w:rsid w:val="775207C1"/>
    <w:rsid w:val="77525B63"/>
    <w:rsid w:val="77526E46"/>
    <w:rsid w:val="776809E3"/>
    <w:rsid w:val="777F311D"/>
    <w:rsid w:val="77FC253E"/>
    <w:rsid w:val="781301BE"/>
    <w:rsid w:val="784E03F0"/>
    <w:rsid w:val="78514F74"/>
    <w:rsid w:val="7894149D"/>
    <w:rsid w:val="78CF5F94"/>
    <w:rsid w:val="78FF0DA4"/>
    <w:rsid w:val="79074FD8"/>
    <w:rsid w:val="79872B48"/>
    <w:rsid w:val="79945C5A"/>
    <w:rsid w:val="79AD74A5"/>
    <w:rsid w:val="79D20267"/>
    <w:rsid w:val="79FE502B"/>
    <w:rsid w:val="7A390F38"/>
    <w:rsid w:val="7A622F64"/>
    <w:rsid w:val="7A882573"/>
    <w:rsid w:val="7A8D3901"/>
    <w:rsid w:val="7AA31C03"/>
    <w:rsid w:val="7ABF6589"/>
    <w:rsid w:val="7B152B01"/>
    <w:rsid w:val="7B1A3ED5"/>
    <w:rsid w:val="7B1B0EA0"/>
    <w:rsid w:val="7B2F59D6"/>
    <w:rsid w:val="7B444ADE"/>
    <w:rsid w:val="7BDE26D2"/>
    <w:rsid w:val="7BF8479B"/>
    <w:rsid w:val="7C006B75"/>
    <w:rsid w:val="7C0D7599"/>
    <w:rsid w:val="7C3A79F6"/>
    <w:rsid w:val="7C3D1348"/>
    <w:rsid w:val="7C7249B9"/>
    <w:rsid w:val="7CED735D"/>
    <w:rsid w:val="7D454D42"/>
    <w:rsid w:val="7D7653AD"/>
    <w:rsid w:val="7D9A4DF3"/>
    <w:rsid w:val="7DB950EA"/>
    <w:rsid w:val="7DC05942"/>
    <w:rsid w:val="7DE809E1"/>
    <w:rsid w:val="7E1F4081"/>
    <w:rsid w:val="7E216B19"/>
    <w:rsid w:val="7E542078"/>
    <w:rsid w:val="7E5528CB"/>
    <w:rsid w:val="7E5537A1"/>
    <w:rsid w:val="7E696CC0"/>
    <w:rsid w:val="7EFF5D4D"/>
    <w:rsid w:val="7F1A34D8"/>
    <w:rsid w:val="7F2E4729"/>
    <w:rsid w:val="7F4F2D47"/>
    <w:rsid w:val="7F7D0C75"/>
    <w:rsid w:val="7FCB31F5"/>
    <w:rsid w:val="7FDF5469"/>
    <w:rsid w:val="7FEFA48F"/>
    <w:rsid w:val="9F7B72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99"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iPriority="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4">
    <w:name w:val="heading 1"/>
    <w:basedOn w:val="1"/>
    <w:next w:val="1"/>
    <w:qFormat/>
    <w:uiPriority w:val="0"/>
    <w:pPr>
      <w:keepNext/>
      <w:keepLines/>
      <w:spacing w:before="340" w:after="330" w:line="576" w:lineRule="auto"/>
      <w:jc w:val="center"/>
      <w:outlineLvl w:val="0"/>
    </w:pPr>
    <w:rPr>
      <w:b/>
      <w:bCs/>
      <w:kern w:val="44"/>
      <w:sz w:val="32"/>
      <w:szCs w:val="44"/>
    </w:rPr>
  </w:style>
  <w:style w:type="paragraph" w:styleId="5">
    <w:name w:val="heading 2"/>
    <w:basedOn w:val="1"/>
    <w:next w:val="1"/>
    <w:qFormat/>
    <w:uiPriority w:val="0"/>
    <w:pPr>
      <w:keepNext/>
      <w:keepLines/>
      <w:spacing w:before="260" w:after="260" w:line="415" w:lineRule="auto"/>
      <w:outlineLvl w:val="1"/>
    </w:pPr>
    <w:rPr>
      <w:rFonts w:ascii="Arial" w:hAnsi="Arial" w:eastAsia="楷体"/>
      <w:b/>
      <w:bCs/>
      <w:sz w:val="32"/>
      <w:szCs w:val="32"/>
    </w:rPr>
  </w:style>
  <w:style w:type="character" w:default="1" w:styleId="15">
    <w:name w:val="Default Paragraph Font"/>
    <w:semiHidden/>
    <w:unhideWhenUsed/>
    <w:qFormat/>
    <w:uiPriority w:val="1"/>
  </w:style>
  <w:style w:type="table" w:default="1" w:styleId="14">
    <w:name w:val="Normal Table"/>
    <w:semiHidden/>
    <w:unhideWhenUsed/>
    <w:qFormat/>
    <w:uiPriority w:val="99"/>
    <w:tblPr>
      <w:tblCellMar>
        <w:top w:w="0" w:type="dxa"/>
        <w:left w:w="108" w:type="dxa"/>
        <w:bottom w:w="0" w:type="dxa"/>
        <w:right w:w="108" w:type="dxa"/>
      </w:tblCellMar>
    </w:tblPr>
  </w:style>
  <w:style w:type="paragraph" w:customStyle="1" w:styleId="2">
    <w:name w:val="纯文本1"/>
    <w:basedOn w:val="3"/>
    <w:qFormat/>
    <w:uiPriority w:val="0"/>
    <w:rPr>
      <w:rFonts w:ascii="宋体" w:hAnsi="Courier New" w:cs="Courier New"/>
      <w:szCs w:val="21"/>
    </w:rPr>
  </w:style>
  <w:style w:type="paragraph" w:customStyle="1" w:styleId="3">
    <w:name w:val="正文_0"/>
    <w:next w:val="2"/>
    <w:qFormat/>
    <w:uiPriority w:val="0"/>
    <w:pPr>
      <w:widowControl w:val="0"/>
      <w:jc w:val="both"/>
    </w:pPr>
    <w:rPr>
      <w:rFonts w:ascii="Calibri" w:hAnsi="Calibri" w:eastAsia="仿宋_GB2312" w:cs="Times New Roman"/>
      <w:kern w:val="2"/>
      <w:sz w:val="32"/>
      <w:szCs w:val="24"/>
      <w:lang w:val="en-US" w:eastAsia="zh-CN" w:bidi="ar-SA"/>
    </w:rPr>
  </w:style>
  <w:style w:type="paragraph" w:styleId="6">
    <w:name w:val="Body Text"/>
    <w:basedOn w:val="1"/>
    <w:next w:val="7"/>
    <w:qFormat/>
    <w:uiPriority w:val="99"/>
    <w:rPr>
      <w:rFonts w:ascii="楷体_GB2312" w:hAnsi="Arial" w:eastAsia="楷体_GB2312" w:cs="楷体_GB2312"/>
      <w:kern w:val="0"/>
      <w:sz w:val="28"/>
      <w:szCs w:val="28"/>
    </w:rPr>
  </w:style>
  <w:style w:type="paragraph" w:styleId="7">
    <w:name w:val="toc 2"/>
    <w:basedOn w:val="1"/>
    <w:next w:val="1"/>
    <w:semiHidden/>
    <w:qFormat/>
    <w:uiPriority w:val="99"/>
    <w:pPr>
      <w:ind w:left="420" w:leftChars="200"/>
    </w:pPr>
  </w:style>
  <w:style w:type="paragraph" w:styleId="8">
    <w:name w:val="Body Text Indent"/>
    <w:basedOn w:val="1"/>
    <w:qFormat/>
    <w:uiPriority w:val="0"/>
    <w:pPr>
      <w:spacing w:line="500" w:lineRule="exact"/>
      <w:ind w:firstLine="527"/>
    </w:pPr>
    <w:rPr>
      <w:rFonts w:ascii="宋体"/>
      <w:sz w:val="30"/>
    </w:rPr>
  </w:style>
  <w:style w:type="paragraph" w:styleId="9">
    <w:name w:val="Balloon Text"/>
    <w:basedOn w:val="1"/>
    <w:link w:val="22"/>
    <w:qFormat/>
    <w:uiPriority w:val="0"/>
    <w:rPr>
      <w:sz w:val="18"/>
      <w:szCs w:val="18"/>
    </w:rPr>
  </w:style>
  <w:style w:type="paragraph" w:styleId="10">
    <w:name w:val="footer"/>
    <w:basedOn w:val="1"/>
    <w:qFormat/>
    <w:uiPriority w:val="99"/>
    <w:pPr>
      <w:tabs>
        <w:tab w:val="center" w:pos="4153"/>
        <w:tab w:val="right" w:pos="8306"/>
      </w:tabs>
      <w:snapToGrid w:val="0"/>
      <w:jc w:val="left"/>
    </w:pPr>
    <w:rPr>
      <w:sz w:val="18"/>
      <w:szCs w:val="18"/>
    </w:rPr>
  </w:style>
  <w:style w:type="paragraph" w:styleId="11">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2">
    <w:name w:val="toc 1"/>
    <w:basedOn w:val="1"/>
    <w:next w:val="1"/>
    <w:qFormat/>
    <w:uiPriority w:val="0"/>
  </w:style>
  <w:style w:type="paragraph" w:styleId="13">
    <w:name w:val="Normal (Web)"/>
    <w:basedOn w:val="1"/>
    <w:qFormat/>
    <w:uiPriority w:val="0"/>
    <w:pPr>
      <w:spacing w:before="100" w:beforeAutospacing="1" w:after="100" w:afterAutospacing="1"/>
      <w:jc w:val="left"/>
    </w:pPr>
    <w:rPr>
      <w:rFonts w:cs="Times New Roman"/>
      <w:kern w:val="0"/>
      <w:sz w:val="24"/>
    </w:rPr>
  </w:style>
  <w:style w:type="character" w:styleId="16">
    <w:name w:val="Strong"/>
    <w:basedOn w:val="15"/>
    <w:qFormat/>
    <w:uiPriority w:val="0"/>
    <w:rPr>
      <w:b/>
    </w:rPr>
  </w:style>
  <w:style w:type="paragraph" w:customStyle="1" w:styleId="17">
    <w:name w:val="w_正文"/>
    <w:basedOn w:val="1"/>
    <w:qFormat/>
    <w:uiPriority w:val="0"/>
    <w:pPr>
      <w:spacing w:line="312" w:lineRule="atLeast"/>
      <w:ind w:firstLine="560" w:firstLineChars="200"/>
    </w:pPr>
    <w:rPr>
      <w:rFonts w:ascii="仿宋" w:hAnsi="仿宋" w:eastAsia="仿宋" w:cs="Times New Roman"/>
      <w:sz w:val="28"/>
      <w:szCs w:val="28"/>
    </w:rPr>
  </w:style>
  <w:style w:type="character" w:customStyle="1" w:styleId="18">
    <w:name w:val="font61"/>
    <w:basedOn w:val="15"/>
    <w:qFormat/>
    <w:uiPriority w:val="0"/>
    <w:rPr>
      <w:rFonts w:hint="default" w:ascii="仿宋_GB2312" w:eastAsia="仿宋_GB2312" w:cs="仿宋_GB2312"/>
      <w:color w:val="000000"/>
      <w:sz w:val="20"/>
      <w:szCs w:val="20"/>
      <w:u w:val="none"/>
    </w:rPr>
  </w:style>
  <w:style w:type="character" w:customStyle="1" w:styleId="19">
    <w:name w:val="font111"/>
    <w:basedOn w:val="15"/>
    <w:qFormat/>
    <w:uiPriority w:val="0"/>
    <w:rPr>
      <w:rFonts w:hint="eastAsia" w:ascii="宋体" w:hAnsi="宋体" w:eastAsia="宋体" w:cs="宋体"/>
      <w:color w:val="000000"/>
      <w:sz w:val="20"/>
      <w:szCs w:val="20"/>
      <w:u w:val="none"/>
    </w:rPr>
  </w:style>
  <w:style w:type="character" w:customStyle="1" w:styleId="20">
    <w:name w:val="font101"/>
    <w:basedOn w:val="15"/>
    <w:qFormat/>
    <w:uiPriority w:val="0"/>
    <w:rPr>
      <w:rFonts w:hint="eastAsia" w:ascii="仿宋" w:hAnsi="仿宋" w:eastAsia="仿宋" w:cs="仿宋"/>
      <w:color w:val="000000"/>
      <w:sz w:val="20"/>
      <w:szCs w:val="20"/>
      <w:u w:val="none"/>
    </w:rPr>
  </w:style>
  <w:style w:type="character" w:customStyle="1" w:styleId="21">
    <w:name w:val="font01"/>
    <w:basedOn w:val="15"/>
    <w:qFormat/>
    <w:uiPriority w:val="0"/>
    <w:rPr>
      <w:rFonts w:ascii="Arial" w:hAnsi="Arial" w:cs="Arial"/>
      <w:color w:val="000000"/>
      <w:sz w:val="20"/>
      <w:szCs w:val="20"/>
      <w:u w:val="none"/>
    </w:rPr>
  </w:style>
  <w:style w:type="character" w:customStyle="1" w:styleId="22">
    <w:name w:val="批注框文本 Char"/>
    <w:basedOn w:val="15"/>
    <w:link w:val="9"/>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6" Type="http://schemas.openxmlformats.org/officeDocument/2006/relationships/fontTable" Target="fontTable.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50</Pages>
  <Words>13180</Words>
  <Characters>14144</Characters>
  <Lines>120</Lines>
  <Paragraphs>33</Paragraphs>
  <TotalTime>12</TotalTime>
  <ScaleCrop>false</ScaleCrop>
  <LinksUpToDate>false</LinksUpToDate>
  <CharactersWithSpaces>14238</CharactersWithSpaces>
  <Application>WPS Office_11.8.2.10458_F1E327BC-269C-435d-A152-05C5408002CA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2023-01-08T14:23:00Z</dcterms:created>
  <dc:creator>LENOVO</dc:creator>
  <cp:lastModifiedBy>gust</cp:lastModifiedBy>
  <dcterms:modified xsi:type="dcterms:W3CDTF">2024-05-09T17:27:31Z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2052-11.8.2.10458</vt:lpwstr>
  </property>
  <property fmtid="{D5CDD505-2E9C-101B-9397-08002B2CF9AE}" pid="3" name="ICV">
    <vt:lpwstr>C63C4CD373464CD9948A5EC1CF928989</vt:lpwstr>
  </property>
</Properties>
</file>